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BD" w:rsidRPr="001B52D8" w:rsidRDefault="007420BD" w:rsidP="00B54BD7">
      <w:pPr>
        <w:pStyle w:val="Default"/>
        <w:spacing w:line="276" w:lineRule="auto"/>
        <w:rPr>
          <w:rFonts w:asciiTheme="minorHAnsi" w:hAnsiTheme="minorHAnsi"/>
          <w:color w:val="auto"/>
          <w:lang w:val="de-DE"/>
        </w:rPr>
      </w:pPr>
    </w:p>
    <w:p w:rsidR="008054A9" w:rsidRDefault="008054A9" w:rsidP="00B54BD7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32"/>
          <w:lang w:val="fr-FR"/>
        </w:rPr>
      </w:pPr>
    </w:p>
    <w:p w:rsidR="00EB4B65" w:rsidRPr="00BE53EB" w:rsidRDefault="00EB4B65" w:rsidP="00B54BD7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32"/>
          <w:lang w:val="fr-FR"/>
        </w:rPr>
      </w:pPr>
      <w:r w:rsidRPr="00BE53EB">
        <w:rPr>
          <w:rFonts w:asciiTheme="minorHAnsi" w:hAnsiTheme="minorHAnsi"/>
          <w:b/>
          <w:color w:val="auto"/>
          <w:sz w:val="32"/>
          <w:szCs w:val="32"/>
          <w:lang w:val="fr-FR"/>
        </w:rPr>
        <w:t>Greenpeace – Mouvement Ecologique</w:t>
      </w:r>
    </w:p>
    <w:p w:rsidR="00FA5311" w:rsidRPr="00BE53EB" w:rsidRDefault="00BE53EB" w:rsidP="00B54BD7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40"/>
          <w:szCs w:val="40"/>
          <w:lang w:val="fr-FR"/>
        </w:rPr>
      </w:pPr>
      <w:r w:rsidRPr="00BE53EB">
        <w:rPr>
          <w:rFonts w:asciiTheme="minorHAnsi" w:hAnsiTheme="minorHAnsi"/>
          <w:b/>
          <w:color w:val="auto"/>
          <w:sz w:val="40"/>
          <w:szCs w:val="40"/>
          <w:lang w:val="fr-FR"/>
        </w:rPr>
        <w:t xml:space="preserve">Les critères minima </w:t>
      </w:r>
      <w:r w:rsidR="00D52D0A">
        <w:rPr>
          <w:rFonts w:asciiTheme="minorHAnsi" w:hAnsiTheme="minorHAnsi"/>
          <w:b/>
          <w:color w:val="auto"/>
          <w:sz w:val="40"/>
          <w:szCs w:val="40"/>
          <w:lang w:val="fr-FR"/>
        </w:rPr>
        <w:t>de</w:t>
      </w:r>
      <w:r w:rsidR="007467EE">
        <w:rPr>
          <w:rFonts w:asciiTheme="minorHAnsi" w:hAnsiTheme="minorHAnsi"/>
          <w:b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/>
          <w:b/>
          <w:bCs/>
          <w:color w:val="auto"/>
          <w:sz w:val="40"/>
          <w:szCs w:val="40"/>
          <w:lang w:val="fr-FR"/>
        </w:rPr>
        <w:t>« </w:t>
      </w:r>
      <w:r w:rsidR="00D52D0A">
        <w:rPr>
          <w:rFonts w:asciiTheme="minorHAnsi" w:hAnsiTheme="minorHAnsi"/>
          <w:b/>
          <w:bCs/>
          <w:color w:val="auto"/>
          <w:sz w:val="40"/>
          <w:szCs w:val="40"/>
          <w:lang w:val="fr-FR"/>
        </w:rPr>
        <w:t>l’électricité</w:t>
      </w:r>
      <w:r w:rsidR="007467EE">
        <w:rPr>
          <w:rFonts w:asciiTheme="minorHAnsi" w:hAnsiTheme="minorHAnsi"/>
          <w:b/>
          <w:bCs/>
          <w:color w:val="auto"/>
          <w:sz w:val="40"/>
          <w:szCs w:val="40"/>
          <w:lang w:val="fr-FR"/>
        </w:rPr>
        <w:t xml:space="preserve"> vert</w:t>
      </w:r>
      <w:r w:rsidR="00D52D0A">
        <w:rPr>
          <w:rFonts w:asciiTheme="minorHAnsi" w:hAnsiTheme="minorHAnsi"/>
          <w:b/>
          <w:bCs/>
          <w:color w:val="auto"/>
          <w:sz w:val="40"/>
          <w:szCs w:val="40"/>
          <w:lang w:val="fr-FR"/>
        </w:rPr>
        <w:t>e</w:t>
      </w:r>
      <w:r>
        <w:rPr>
          <w:rFonts w:asciiTheme="minorHAnsi" w:hAnsiTheme="minorHAnsi"/>
          <w:b/>
          <w:bCs/>
          <w:color w:val="auto"/>
          <w:sz w:val="40"/>
          <w:szCs w:val="40"/>
          <w:lang w:val="fr-FR"/>
        </w:rPr>
        <w:t> »</w:t>
      </w:r>
    </w:p>
    <w:p w:rsidR="00EB4B65" w:rsidRPr="00BE53EB" w:rsidRDefault="00EB4B65" w:rsidP="00B54BD7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highlight w:val="yellow"/>
          <w:lang w:val="fr-FR"/>
        </w:rPr>
      </w:pPr>
    </w:p>
    <w:p w:rsidR="007420BD" w:rsidRPr="00BE53EB" w:rsidRDefault="00524358" w:rsidP="00B54BD7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32"/>
          <w:lang w:val="fr-FR"/>
        </w:rPr>
      </w:pPr>
      <w:r w:rsidRPr="00BE53EB">
        <w:rPr>
          <w:rFonts w:asciiTheme="minorHAnsi" w:hAnsiTheme="minorHAnsi"/>
          <w:b/>
          <w:bCs/>
          <w:color w:val="auto"/>
          <w:sz w:val="32"/>
          <w:szCs w:val="32"/>
          <w:lang w:val="fr-FR"/>
        </w:rPr>
        <w:t>Septembre</w:t>
      </w:r>
      <w:r w:rsidR="000D1211" w:rsidRPr="00BE53EB">
        <w:rPr>
          <w:rFonts w:asciiTheme="minorHAnsi" w:hAnsiTheme="minorHAnsi"/>
          <w:b/>
          <w:bCs/>
          <w:color w:val="auto"/>
          <w:sz w:val="32"/>
          <w:szCs w:val="32"/>
          <w:lang w:val="fr-FR"/>
        </w:rPr>
        <w:t xml:space="preserve"> 2016</w:t>
      </w:r>
    </w:p>
    <w:p w:rsidR="00AC31B3" w:rsidRPr="00D52D0A" w:rsidRDefault="00AC31B3" w:rsidP="00B54BD7">
      <w:pPr>
        <w:pStyle w:val="Default"/>
        <w:spacing w:line="276" w:lineRule="auto"/>
        <w:rPr>
          <w:rFonts w:asciiTheme="minorHAnsi" w:hAnsiTheme="minorHAnsi"/>
          <w:b/>
          <w:lang w:val="fr-FR"/>
        </w:rPr>
      </w:pPr>
    </w:p>
    <w:p w:rsidR="008C2635" w:rsidRPr="00F6156A" w:rsidRDefault="00BE53EB" w:rsidP="00B54BD7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lang w:val="fr-FR"/>
        </w:rPr>
      </w:pPr>
      <w:r w:rsidRPr="00F6156A">
        <w:rPr>
          <w:rFonts w:asciiTheme="minorHAnsi" w:hAnsiTheme="minorHAnsi"/>
          <w:b/>
          <w:sz w:val="28"/>
          <w:szCs w:val="28"/>
          <w:lang w:val="fr-FR"/>
        </w:rPr>
        <w:t>Les principaux critères de</w:t>
      </w:r>
      <w:r w:rsidR="00D52D0A">
        <w:rPr>
          <w:rFonts w:asciiTheme="minorHAnsi" w:hAnsiTheme="minorHAnsi"/>
          <w:b/>
          <w:sz w:val="28"/>
          <w:szCs w:val="28"/>
          <w:lang w:val="fr-FR"/>
        </w:rPr>
        <w:t xml:space="preserve"> qualité auxquels la véritable « électricité verte </w:t>
      </w:r>
      <w:r w:rsidR="00F6156A">
        <w:rPr>
          <w:rFonts w:asciiTheme="minorHAnsi" w:hAnsiTheme="minorHAnsi"/>
          <w:b/>
          <w:sz w:val="28"/>
          <w:szCs w:val="28"/>
          <w:lang w:val="fr-FR"/>
        </w:rPr>
        <w:t>»</w:t>
      </w:r>
      <w:r w:rsidRPr="00F6156A">
        <w:rPr>
          <w:rFonts w:asciiTheme="minorHAnsi" w:hAnsiTheme="minorHAnsi"/>
          <w:b/>
          <w:sz w:val="28"/>
          <w:szCs w:val="28"/>
          <w:lang w:val="fr-FR"/>
        </w:rPr>
        <w:t xml:space="preserve"> doit répondre </w:t>
      </w:r>
    </w:p>
    <w:p w:rsidR="00855AC1" w:rsidRPr="00F6156A" w:rsidRDefault="00252858" w:rsidP="00F26067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F6156A">
        <w:rPr>
          <w:rFonts w:asciiTheme="minorHAnsi" w:hAnsiTheme="minorHAnsi"/>
          <w:lang w:val="fr-FR"/>
        </w:rPr>
        <w:t>Depuis</w:t>
      </w:r>
      <w:r w:rsidR="008C2635" w:rsidRPr="00F6156A">
        <w:rPr>
          <w:rFonts w:asciiTheme="minorHAnsi" w:hAnsiTheme="minorHAnsi"/>
          <w:lang w:val="fr-FR"/>
        </w:rPr>
        <w:t xml:space="preserve"> 20</w:t>
      </w:r>
      <w:r w:rsidR="00B54BD7" w:rsidRPr="00F6156A">
        <w:rPr>
          <w:rFonts w:asciiTheme="minorHAnsi" w:hAnsiTheme="minorHAnsi"/>
          <w:lang w:val="fr-FR"/>
        </w:rPr>
        <w:t>0</w:t>
      </w:r>
      <w:r w:rsidR="00481425" w:rsidRPr="00F6156A">
        <w:rPr>
          <w:rFonts w:asciiTheme="minorHAnsi" w:hAnsiTheme="minorHAnsi"/>
          <w:lang w:val="fr-FR"/>
        </w:rPr>
        <w:t>7</w:t>
      </w:r>
      <w:r w:rsidRPr="00F6156A">
        <w:rPr>
          <w:rFonts w:asciiTheme="minorHAnsi" w:hAnsiTheme="minorHAnsi"/>
          <w:lang w:val="fr-FR"/>
        </w:rPr>
        <w:t>, le</w:t>
      </w:r>
      <w:r w:rsidR="00481425" w:rsidRPr="00F6156A">
        <w:rPr>
          <w:rFonts w:asciiTheme="minorHAnsi" w:hAnsiTheme="minorHAnsi"/>
          <w:lang w:val="fr-FR"/>
        </w:rPr>
        <w:t xml:space="preserve"> Mouvement Ecologique </w:t>
      </w:r>
      <w:r w:rsidRPr="00F6156A">
        <w:rPr>
          <w:rFonts w:asciiTheme="minorHAnsi" w:hAnsiTheme="minorHAnsi"/>
          <w:lang w:val="fr-FR"/>
        </w:rPr>
        <w:t>et</w:t>
      </w:r>
      <w:r w:rsidR="001B52D8" w:rsidRPr="00F6156A">
        <w:rPr>
          <w:rFonts w:asciiTheme="minorHAnsi" w:hAnsiTheme="minorHAnsi"/>
          <w:lang w:val="fr-FR"/>
        </w:rPr>
        <w:t xml:space="preserve"> Greenpeace </w:t>
      </w:r>
      <w:r w:rsidRPr="00F6156A">
        <w:rPr>
          <w:rFonts w:asciiTheme="minorHAnsi" w:hAnsiTheme="minorHAnsi"/>
          <w:lang w:val="fr-FR"/>
        </w:rPr>
        <w:t>rédigent ensemble les crit</w:t>
      </w:r>
      <w:r w:rsidR="00F6156A">
        <w:rPr>
          <w:rFonts w:asciiTheme="minorHAnsi" w:hAnsiTheme="minorHAnsi"/>
          <w:lang w:val="fr-FR"/>
        </w:rPr>
        <w:t>ères m</w:t>
      </w:r>
      <w:r w:rsidR="00D52D0A">
        <w:rPr>
          <w:rFonts w:asciiTheme="minorHAnsi" w:hAnsiTheme="minorHAnsi"/>
          <w:lang w:val="fr-FR"/>
        </w:rPr>
        <w:t>inima auxquels l’ « électricité verte</w:t>
      </w:r>
      <w:r w:rsidR="00F6156A">
        <w:rPr>
          <w:rFonts w:asciiTheme="minorHAnsi" w:hAnsiTheme="minorHAnsi"/>
          <w:lang w:val="fr-FR"/>
        </w:rPr>
        <w:t xml:space="preserve"> » </w:t>
      </w:r>
      <w:r w:rsidR="005E13D0">
        <w:rPr>
          <w:rFonts w:asciiTheme="minorHAnsi" w:hAnsiTheme="minorHAnsi"/>
          <w:lang w:val="fr-FR"/>
        </w:rPr>
        <w:t>(</w:t>
      </w:r>
      <w:r w:rsidR="00F6156A">
        <w:rPr>
          <w:rFonts w:asciiTheme="minorHAnsi" w:hAnsiTheme="minorHAnsi"/>
          <w:lang w:val="fr-FR"/>
        </w:rPr>
        <w:t>ou « </w:t>
      </w:r>
      <w:r w:rsidR="00D46983" w:rsidRPr="00F6156A">
        <w:rPr>
          <w:rFonts w:asciiTheme="minorHAnsi" w:hAnsiTheme="minorHAnsi"/>
          <w:lang w:val="fr-FR"/>
        </w:rPr>
        <w:t>électricité</w:t>
      </w:r>
      <w:r w:rsidR="00F6156A">
        <w:rPr>
          <w:rFonts w:asciiTheme="minorHAnsi" w:hAnsiTheme="minorHAnsi"/>
          <w:lang w:val="fr-FR"/>
        </w:rPr>
        <w:t xml:space="preserve"> écologique »</w:t>
      </w:r>
      <w:r w:rsidR="005E13D0">
        <w:rPr>
          <w:rFonts w:asciiTheme="minorHAnsi" w:hAnsiTheme="minorHAnsi"/>
          <w:lang w:val="fr-FR"/>
        </w:rPr>
        <w:t>)</w:t>
      </w:r>
      <w:r w:rsidRPr="00F6156A">
        <w:rPr>
          <w:rFonts w:asciiTheme="minorHAnsi" w:hAnsiTheme="minorHAnsi"/>
          <w:lang w:val="fr-FR"/>
        </w:rPr>
        <w:t xml:space="preserve"> doit répondre et évaluent les produits électri</w:t>
      </w:r>
      <w:r w:rsidR="00D46983" w:rsidRPr="00F6156A">
        <w:rPr>
          <w:rFonts w:asciiTheme="minorHAnsi" w:hAnsiTheme="minorHAnsi"/>
          <w:lang w:val="fr-FR"/>
        </w:rPr>
        <w:t>ques</w:t>
      </w:r>
      <w:r w:rsidRPr="00F6156A">
        <w:rPr>
          <w:rFonts w:asciiTheme="minorHAnsi" w:hAnsiTheme="minorHAnsi"/>
          <w:lang w:val="fr-FR"/>
        </w:rPr>
        <w:t xml:space="preserve"> </w:t>
      </w:r>
      <w:r w:rsidR="00875C51" w:rsidRPr="00F6156A">
        <w:rPr>
          <w:rFonts w:asciiTheme="minorHAnsi" w:hAnsiTheme="minorHAnsi"/>
          <w:lang w:val="fr-FR"/>
        </w:rPr>
        <w:t>en provenance</w:t>
      </w:r>
      <w:r w:rsidRPr="00F6156A">
        <w:rPr>
          <w:rFonts w:asciiTheme="minorHAnsi" w:hAnsiTheme="minorHAnsi"/>
          <w:lang w:val="fr-FR"/>
        </w:rPr>
        <w:t xml:space="preserve"> des fournisseurs nation</w:t>
      </w:r>
      <w:r w:rsidR="00D46983" w:rsidRPr="00F6156A">
        <w:rPr>
          <w:rFonts w:asciiTheme="minorHAnsi" w:hAnsiTheme="minorHAnsi"/>
          <w:lang w:val="fr-FR"/>
        </w:rPr>
        <w:t>aux sur la base de ces critères</w:t>
      </w:r>
      <w:r w:rsidR="008C2635" w:rsidRPr="00F6156A">
        <w:rPr>
          <w:rFonts w:asciiTheme="minorHAnsi" w:hAnsiTheme="minorHAnsi"/>
          <w:lang w:val="fr-FR"/>
        </w:rPr>
        <w:t xml:space="preserve">. </w:t>
      </w:r>
    </w:p>
    <w:p w:rsidR="001B52D8" w:rsidRPr="00F6156A" w:rsidRDefault="00D46983" w:rsidP="00F26067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F6156A">
        <w:rPr>
          <w:rFonts w:asciiTheme="minorHAnsi" w:hAnsiTheme="minorHAnsi"/>
          <w:lang w:val="fr-FR"/>
        </w:rPr>
        <w:t xml:space="preserve">La garantie d’une contribution positive </w:t>
      </w:r>
      <w:r w:rsidR="001479D9" w:rsidRPr="00F6156A">
        <w:rPr>
          <w:rFonts w:asciiTheme="minorHAnsi" w:hAnsiTheme="minorHAnsi"/>
          <w:lang w:val="fr-FR"/>
        </w:rPr>
        <w:t>en termes de protection de l’</w:t>
      </w:r>
      <w:r w:rsidRPr="00F6156A">
        <w:rPr>
          <w:rFonts w:asciiTheme="minorHAnsi" w:hAnsiTheme="minorHAnsi"/>
          <w:lang w:val="fr-FR"/>
        </w:rPr>
        <w:t>environneme</w:t>
      </w:r>
      <w:r w:rsidR="001479D9" w:rsidRPr="00F6156A">
        <w:rPr>
          <w:rFonts w:asciiTheme="minorHAnsi" w:hAnsiTheme="minorHAnsi"/>
          <w:lang w:val="fr-FR"/>
        </w:rPr>
        <w:t>nt</w:t>
      </w:r>
      <w:r w:rsidRPr="00F6156A">
        <w:rPr>
          <w:rFonts w:asciiTheme="minorHAnsi" w:hAnsiTheme="minorHAnsi"/>
          <w:lang w:val="fr-FR"/>
        </w:rPr>
        <w:t xml:space="preserve"> au moyen </w:t>
      </w:r>
      <w:r w:rsidR="00D52D0A">
        <w:rPr>
          <w:rFonts w:asciiTheme="minorHAnsi" w:hAnsiTheme="minorHAnsi"/>
          <w:lang w:val="fr-FR"/>
        </w:rPr>
        <w:t>de l’achat d’ « électricité verte</w:t>
      </w:r>
      <w:r w:rsidR="00F6156A">
        <w:rPr>
          <w:rFonts w:asciiTheme="minorHAnsi" w:hAnsiTheme="minorHAnsi"/>
          <w:lang w:val="fr-FR"/>
        </w:rPr>
        <w:t> »</w:t>
      </w:r>
      <w:r w:rsidRPr="00F6156A">
        <w:rPr>
          <w:rFonts w:asciiTheme="minorHAnsi" w:hAnsiTheme="minorHAnsi"/>
          <w:lang w:val="fr-FR"/>
        </w:rPr>
        <w:t xml:space="preserve"> était et est toujours notre première préoccupation. </w:t>
      </w:r>
      <w:r w:rsidR="001479D9" w:rsidRPr="00F6156A">
        <w:rPr>
          <w:rFonts w:asciiTheme="minorHAnsi" w:hAnsiTheme="minorHAnsi"/>
          <w:lang w:val="fr-FR"/>
        </w:rPr>
        <w:t xml:space="preserve">Ceci dans le but de pouvoir recommander </w:t>
      </w:r>
      <w:r w:rsidR="00395FAF" w:rsidRPr="00F6156A">
        <w:rPr>
          <w:rFonts w:asciiTheme="minorHAnsi" w:hAnsiTheme="minorHAnsi"/>
          <w:lang w:val="fr-FR"/>
        </w:rPr>
        <w:t xml:space="preserve">aux clients, </w:t>
      </w:r>
      <w:r w:rsidR="001479D9" w:rsidRPr="00F6156A">
        <w:rPr>
          <w:rFonts w:asciiTheme="minorHAnsi" w:hAnsiTheme="minorHAnsi"/>
          <w:lang w:val="fr-FR"/>
        </w:rPr>
        <w:t>grâce à cette évaluation indépendante</w:t>
      </w:r>
      <w:r w:rsidR="00395FAF" w:rsidRPr="00F6156A">
        <w:rPr>
          <w:rFonts w:asciiTheme="minorHAnsi" w:hAnsiTheme="minorHAnsi"/>
          <w:lang w:val="fr-FR"/>
        </w:rPr>
        <w:t>, les produits qui valent vraiment leur surcoût.</w:t>
      </w:r>
      <w:r w:rsidR="001479D9" w:rsidRPr="00F6156A">
        <w:rPr>
          <w:rFonts w:asciiTheme="minorHAnsi" w:hAnsiTheme="minorHAnsi"/>
          <w:lang w:val="fr-FR"/>
        </w:rPr>
        <w:t xml:space="preserve"> </w:t>
      </w:r>
    </w:p>
    <w:p w:rsidR="00395FAF" w:rsidRPr="00F6156A" w:rsidRDefault="00395FAF" w:rsidP="00B54BD7">
      <w:pPr>
        <w:spacing w:line="276" w:lineRule="auto"/>
        <w:jc w:val="both"/>
        <w:rPr>
          <w:sz w:val="24"/>
          <w:szCs w:val="24"/>
          <w:lang w:val="fr-FR"/>
        </w:rPr>
      </w:pPr>
    </w:p>
    <w:p w:rsidR="008C2635" w:rsidRPr="00F6156A" w:rsidRDefault="00395FAF" w:rsidP="00B54BD7">
      <w:pPr>
        <w:spacing w:line="276" w:lineRule="auto"/>
        <w:jc w:val="both"/>
        <w:rPr>
          <w:sz w:val="24"/>
          <w:szCs w:val="24"/>
          <w:lang w:val="fr-FR"/>
        </w:rPr>
      </w:pPr>
      <w:r w:rsidRPr="00F6156A">
        <w:rPr>
          <w:sz w:val="24"/>
          <w:szCs w:val="24"/>
          <w:lang w:val="fr-FR"/>
        </w:rPr>
        <w:t>Les critères</w:t>
      </w:r>
      <w:r w:rsidR="00D52D0A">
        <w:rPr>
          <w:sz w:val="24"/>
          <w:szCs w:val="24"/>
          <w:lang w:val="fr-FR"/>
        </w:rPr>
        <w:t xml:space="preserve"> minima appliqués à l’égard d’</w:t>
      </w:r>
      <w:r w:rsidR="00F6156A">
        <w:rPr>
          <w:sz w:val="24"/>
          <w:szCs w:val="24"/>
          <w:lang w:val="fr-FR"/>
        </w:rPr>
        <w:t xml:space="preserve"> « </w:t>
      </w:r>
      <w:r w:rsidR="00D52D0A">
        <w:rPr>
          <w:lang w:val="fr-FR"/>
        </w:rPr>
        <w:t>électricité verte </w:t>
      </w:r>
      <w:r w:rsidR="00F6156A">
        <w:rPr>
          <w:sz w:val="24"/>
          <w:szCs w:val="24"/>
          <w:lang w:val="fr-FR"/>
        </w:rPr>
        <w:t>»</w:t>
      </w:r>
      <w:r w:rsidRPr="00F6156A">
        <w:rPr>
          <w:sz w:val="24"/>
          <w:szCs w:val="24"/>
          <w:lang w:val="fr-FR"/>
        </w:rPr>
        <w:t xml:space="preserve"> </w:t>
      </w:r>
      <w:r w:rsidR="009E65BB">
        <w:rPr>
          <w:sz w:val="24"/>
          <w:szCs w:val="24"/>
          <w:lang w:val="fr-FR"/>
        </w:rPr>
        <w:t>visent</w:t>
      </w:r>
      <w:r w:rsidRPr="00F6156A">
        <w:rPr>
          <w:sz w:val="24"/>
          <w:szCs w:val="24"/>
          <w:lang w:val="fr-FR"/>
        </w:rPr>
        <w:t xml:space="preserve"> les domaines suivants</w:t>
      </w:r>
      <w:r w:rsidR="008C2635" w:rsidRPr="00F6156A">
        <w:rPr>
          <w:sz w:val="24"/>
          <w:szCs w:val="24"/>
          <w:lang w:val="fr-FR"/>
        </w:rPr>
        <w:t>:</w:t>
      </w:r>
    </w:p>
    <w:p w:rsidR="008C2635" w:rsidRPr="00F6156A" w:rsidRDefault="00875C51" w:rsidP="00B54BD7">
      <w:pPr>
        <w:numPr>
          <w:ilvl w:val="0"/>
          <w:numId w:val="6"/>
        </w:numPr>
        <w:spacing w:after="200" w:line="276" w:lineRule="auto"/>
        <w:rPr>
          <w:sz w:val="24"/>
          <w:szCs w:val="24"/>
          <w:lang w:val="fr-FR"/>
        </w:rPr>
      </w:pPr>
      <w:r w:rsidRPr="00F6156A">
        <w:rPr>
          <w:sz w:val="24"/>
          <w:szCs w:val="24"/>
          <w:lang w:val="fr-FR"/>
        </w:rPr>
        <w:t xml:space="preserve">La qualité des sources d’énergies renouvelables; </w:t>
      </w:r>
    </w:p>
    <w:p w:rsidR="009212A0" w:rsidRPr="00F6156A" w:rsidRDefault="00875C51" w:rsidP="00B54BD7">
      <w:pPr>
        <w:numPr>
          <w:ilvl w:val="0"/>
          <w:numId w:val="6"/>
        </w:numPr>
        <w:spacing w:after="200" w:line="276" w:lineRule="auto"/>
        <w:rPr>
          <w:sz w:val="24"/>
          <w:szCs w:val="24"/>
          <w:lang w:val="fr-FR"/>
        </w:rPr>
      </w:pPr>
      <w:r w:rsidRPr="00F6156A">
        <w:rPr>
          <w:sz w:val="24"/>
          <w:szCs w:val="24"/>
          <w:lang w:val="fr-FR"/>
        </w:rPr>
        <w:t xml:space="preserve">La structure d’âge des installations de production; </w:t>
      </w:r>
    </w:p>
    <w:p w:rsidR="00E2484E" w:rsidRPr="00F6156A" w:rsidRDefault="009212A0" w:rsidP="00B54BD7">
      <w:pPr>
        <w:numPr>
          <w:ilvl w:val="0"/>
          <w:numId w:val="6"/>
        </w:numPr>
        <w:spacing w:after="200" w:line="276" w:lineRule="auto"/>
        <w:rPr>
          <w:sz w:val="24"/>
          <w:szCs w:val="24"/>
          <w:lang w:val="fr-FR"/>
        </w:rPr>
      </w:pPr>
      <w:r w:rsidRPr="00F6156A">
        <w:rPr>
          <w:sz w:val="24"/>
          <w:szCs w:val="24"/>
          <w:lang w:val="fr-FR"/>
        </w:rPr>
        <w:t xml:space="preserve">La politique commerciale des producteurs et fournisseurs d’électricité et les liens </w:t>
      </w:r>
      <w:r w:rsidR="006D5D13">
        <w:rPr>
          <w:sz w:val="24"/>
          <w:szCs w:val="24"/>
          <w:lang w:val="fr-FR"/>
        </w:rPr>
        <w:t>éventuels</w:t>
      </w:r>
      <w:r w:rsidRPr="00F6156A">
        <w:rPr>
          <w:sz w:val="24"/>
          <w:szCs w:val="24"/>
          <w:lang w:val="fr-FR"/>
        </w:rPr>
        <w:t xml:space="preserve"> avec l’industrie nucléaire, respectivement charbonnière; </w:t>
      </w:r>
    </w:p>
    <w:p w:rsidR="008C2635" w:rsidRPr="00F6156A" w:rsidRDefault="009212A0" w:rsidP="00B54BD7">
      <w:pPr>
        <w:numPr>
          <w:ilvl w:val="0"/>
          <w:numId w:val="6"/>
        </w:numPr>
        <w:spacing w:after="200" w:line="276" w:lineRule="auto"/>
        <w:rPr>
          <w:sz w:val="24"/>
          <w:szCs w:val="24"/>
          <w:lang w:val="fr-FR"/>
        </w:rPr>
      </w:pPr>
      <w:r w:rsidRPr="00F6156A">
        <w:rPr>
          <w:sz w:val="24"/>
          <w:szCs w:val="24"/>
          <w:lang w:val="fr-FR"/>
        </w:rPr>
        <w:t>La transparence, le contrôle et</w:t>
      </w:r>
      <w:r w:rsidR="00E23369">
        <w:rPr>
          <w:sz w:val="24"/>
          <w:szCs w:val="24"/>
          <w:lang w:val="fr-FR"/>
        </w:rPr>
        <w:t xml:space="preserve"> le </w:t>
      </w:r>
      <w:proofErr w:type="spellStart"/>
      <w:r w:rsidR="00E23369" w:rsidRPr="00D52D0A">
        <w:rPr>
          <w:sz w:val="24"/>
          <w:szCs w:val="24"/>
          <w:lang w:val="fr-FR"/>
        </w:rPr>
        <w:t>labeling</w:t>
      </w:r>
      <w:proofErr w:type="spellEnd"/>
    </w:p>
    <w:p w:rsidR="008C2635" w:rsidRPr="00F6156A" w:rsidRDefault="009212A0" w:rsidP="00B54BD7">
      <w:pPr>
        <w:numPr>
          <w:ilvl w:val="0"/>
          <w:numId w:val="6"/>
        </w:numPr>
        <w:spacing w:after="200" w:line="276" w:lineRule="auto"/>
        <w:rPr>
          <w:sz w:val="24"/>
          <w:szCs w:val="24"/>
          <w:lang w:val="fr-FR"/>
        </w:rPr>
      </w:pPr>
      <w:r w:rsidRPr="00F6156A">
        <w:rPr>
          <w:sz w:val="24"/>
          <w:szCs w:val="24"/>
          <w:lang w:val="fr-FR"/>
        </w:rPr>
        <w:t>Les conseils dispensés aux clients</w:t>
      </w:r>
      <w:r w:rsidR="001B52D8" w:rsidRPr="00F6156A">
        <w:rPr>
          <w:sz w:val="24"/>
          <w:szCs w:val="24"/>
          <w:lang w:val="fr-FR"/>
        </w:rPr>
        <w:t>.</w:t>
      </w:r>
    </w:p>
    <w:p w:rsidR="00AC31B3" w:rsidRDefault="002907EE" w:rsidP="003F7363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F6156A">
        <w:rPr>
          <w:rFonts w:asciiTheme="minorHAnsi" w:hAnsiTheme="minorHAnsi"/>
          <w:lang w:val="fr-FR"/>
        </w:rPr>
        <w:t>Dans un marché énergétique en constant changement, qui englobe entre autres une part croissante en électricité à base d’énergies renouvelables, il est évident que ces critères doivent être vérifiés et adaptés périodiquement.</w:t>
      </w:r>
      <w:r w:rsidR="001B52D8" w:rsidRPr="00F6156A">
        <w:rPr>
          <w:rFonts w:asciiTheme="minorHAnsi" w:hAnsiTheme="minorHAnsi"/>
          <w:lang w:val="fr-FR"/>
        </w:rPr>
        <w:t xml:space="preserve"> </w:t>
      </w:r>
      <w:r w:rsidRPr="00F6156A">
        <w:rPr>
          <w:rFonts w:asciiTheme="minorHAnsi" w:hAnsiTheme="minorHAnsi"/>
          <w:lang w:val="fr-FR"/>
        </w:rPr>
        <w:t xml:space="preserve">C’est ainsi que les critères minima qui  sont dorénavant disponibles renferment notamment des précisions sur les exigences </w:t>
      </w:r>
      <w:r w:rsidR="00263913" w:rsidRPr="00F6156A">
        <w:rPr>
          <w:rFonts w:asciiTheme="minorHAnsi" w:hAnsiTheme="minorHAnsi"/>
          <w:lang w:val="fr-FR"/>
        </w:rPr>
        <w:t>concernant l’</w:t>
      </w:r>
      <w:r w:rsidRPr="00F6156A">
        <w:rPr>
          <w:rFonts w:asciiTheme="minorHAnsi" w:hAnsiTheme="minorHAnsi"/>
          <w:lang w:val="fr-FR"/>
        </w:rPr>
        <w:t xml:space="preserve">âge des </w:t>
      </w:r>
      <w:r w:rsidR="00263913" w:rsidRPr="00F6156A">
        <w:rPr>
          <w:rFonts w:asciiTheme="minorHAnsi" w:hAnsiTheme="minorHAnsi"/>
          <w:lang w:val="fr-FR"/>
        </w:rPr>
        <w:t>unités</w:t>
      </w:r>
      <w:r w:rsidRPr="00F6156A">
        <w:rPr>
          <w:rFonts w:asciiTheme="minorHAnsi" w:hAnsiTheme="minorHAnsi"/>
          <w:lang w:val="fr-FR"/>
        </w:rPr>
        <w:t xml:space="preserve"> de production </w:t>
      </w:r>
      <w:r w:rsidR="00263913" w:rsidRPr="00F6156A">
        <w:rPr>
          <w:rFonts w:asciiTheme="minorHAnsi" w:hAnsiTheme="minorHAnsi"/>
          <w:lang w:val="fr-FR"/>
        </w:rPr>
        <w:t xml:space="preserve">admises. De nouveaux critères ont été établis </w:t>
      </w:r>
      <w:r w:rsidR="00501C8B">
        <w:rPr>
          <w:rFonts w:asciiTheme="minorHAnsi" w:hAnsiTheme="minorHAnsi"/>
          <w:lang w:val="fr-FR"/>
        </w:rPr>
        <w:t xml:space="preserve">concernant les </w:t>
      </w:r>
      <w:r w:rsidR="00263913" w:rsidRPr="00F6156A">
        <w:rPr>
          <w:rFonts w:asciiTheme="minorHAnsi" w:hAnsiTheme="minorHAnsi"/>
          <w:lang w:val="fr-FR"/>
        </w:rPr>
        <w:t xml:space="preserve"> </w:t>
      </w:r>
      <w:r w:rsidR="00857F87" w:rsidRPr="00F6156A">
        <w:rPr>
          <w:rFonts w:asciiTheme="minorHAnsi" w:hAnsiTheme="minorHAnsi"/>
          <w:lang w:val="fr-FR"/>
        </w:rPr>
        <w:t xml:space="preserve">rapports de participation </w:t>
      </w:r>
      <w:r w:rsidR="00263913" w:rsidRPr="00F6156A">
        <w:rPr>
          <w:rFonts w:asciiTheme="minorHAnsi" w:hAnsiTheme="minorHAnsi"/>
          <w:lang w:val="fr-FR"/>
        </w:rPr>
        <w:t xml:space="preserve">des fournisseurs </w:t>
      </w:r>
      <w:r w:rsidR="00857F87" w:rsidRPr="00F6156A">
        <w:rPr>
          <w:rFonts w:asciiTheme="minorHAnsi" w:hAnsiTheme="minorHAnsi"/>
          <w:lang w:val="fr-FR"/>
        </w:rPr>
        <w:t>aux centrales nucléaires et à charbon</w:t>
      </w:r>
      <w:r w:rsidR="00501C8B">
        <w:rPr>
          <w:rFonts w:asciiTheme="minorHAnsi" w:hAnsiTheme="minorHAnsi"/>
          <w:lang w:val="fr-FR"/>
        </w:rPr>
        <w:t xml:space="preserve"> ; aussi, </w:t>
      </w:r>
      <w:r w:rsidR="00263913" w:rsidRPr="00F6156A">
        <w:rPr>
          <w:rFonts w:asciiTheme="minorHAnsi" w:hAnsiTheme="minorHAnsi"/>
          <w:lang w:val="fr-FR"/>
        </w:rPr>
        <w:t xml:space="preserve">les critères appliqués au courant </w:t>
      </w:r>
      <w:r w:rsidR="00501C8B">
        <w:rPr>
          <w:rFonts w:asciiTheme="minorHAnsi" w:hAnsiTheme="minorHAnsi"/>
          <w:lang w:val="fr-FR"/>
        </w:rPr>
        <w:t>issu</w:t>
      </w:r>
      <w:r w:rsidR="00263913" w:rsidRPr="00F6156A">
        <w:rPr>
          <w:rFonts w:asciiTheme="minorHAnsi" w:hAnsiTheme="minorHAnsi"/>
          <w:lang w:val="fr-FR"/>
        </w:rPr>
        <w:t xml:space="preserve"> de </w:t>
      </w:r>
      <w:r w:rsidR="00501C8B">
        <w:rPr>
          <w:rFonts w:asciiTheme="minorHAnsi" w:hAnsiTheme="minorHAnsi"/>
          <w:lang w:val="fr-FR"/>
        </w:rPr>
        <w:t xml:space="preserve">la </w:t>
      </w:r>
      <w:r w:rsidR="00263913" w:rsidRPr="00F6156A">
        <w:rPr>
          <w:rFonts w:asciiTheme="minorHAnsi" w:hAnsiTheme="minorHAnsi"/>
          <w:lang w:val="fr-FR"/>
        </w:rPr>
        <w:t xml:space="preserve">biomasse ont </w:t>
      </w:r>
      <w:r w:rsidR="00857F87" w:rsidRPr="00F6156A">
        <w:rPr>
          <w:rFonts w:asciiTheme="minorHAnsi" w:hAnsiTheme="minorHAnsi"/>
          <w:lang w:val="fr-FR"/>
        </w:rPr>
        <w:t>été précisés plus en détail.</w:t>
      </w:r>
    </w:p>
    <w:p w:rsidR="00D52D0A" w:rsidRDefault="00D52D0A" w:rsidP="003F7363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</w:p>
    <w:p w:rsidR="008054A9" w:rsidRDefault="008054A9" w:rsidP="003F7363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</w:p>
    <w:p w:rsidR="004B06E8" w:rsidRPr="008054A9" w:rsidRDefault="00857F87" w:rsidP="00B54BD7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8"/>
          <w:szCs w:val="28"/>
          <w:lang w:val="fr-FR"/>
        </w:rPr>
      </w:pPr>
      <w:r w:rsidRPr="00F6156A">
        <w:rPr>
          <w:rFonts w:asciiTheme="minorHAnsi" w:hAnsiTheme="minorHAnsi"/>
          <w:b/>
          <w:bCs/>
          <w:sz w:val="28"/>
          <w:szCs w:val="28"/>
          <w:lang w:val="fr-FR"/>
        </w:rPr>
        <w:lastRenderedPageBreak/>
        <w:t xml:space="preserve">Les unités de production admises </w:t>
      </w:r>
    </w:p>
    <w:p w:rsidR="005F2A61" w:rsidRPr="008054A9" w:rsidRDefault="005F2A61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</w:p>
    <w:p w:rsidR="00B92269" w:rsidRPr="009B2DD9" w:rsidRDefault="00430173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En principe, le courant dit « vert »</w:t>
      </w:r>
      <w:r w:rsidR="00F6156A" w:rsidRPr="009B2DD9">
        <w:rPr>
          <w:rFonts w:asciiTheme="minorHAnsi" w:hAnsiTheme="minorHAnsi"/>
          <w:lang w:val="fr-FR"/>
        </w:rPr>
        <w:t xml:space="preserve"> devrait être produit exclusivement au moyen de sources d’énergies renouvelables comme le vent, l’eau, le soleil, la géothermie ou la biomasse. Ce faisant, une production locale/régionale est préconisée. </w:t>
      </w:r>
      <w:r w:rsidR="00C97C4B" w:rsidRPr="009B2DD9">
        <w:rPr>
          <w:rFonts w:asciiTheme="minorHAnsi" w:hAnsiTheme="minorHAnsi"/>
          <w:lang w:val="fr-FR"/>
        </w:rPr>
        <w:t xml:space="preserve">La répartition en terme de pourcentage sur les diverses sources d’énergies régénératives peut varier de </w:t>
      </w:r>
      <w:r w:rsidR="009B2DD9" w:rsidRPr="009B2DD9">
        <w:rPr>
          <w:rFonts w:asciiTheme="minorHAnsi" w:hAnsiTheme="minorHAnsi"/>
          <w:lang w:val="fr-FR"/>
        </w:rPr>
        <w:t>produit</w:t>
      </w:r>
      <w:r w:rsidR="00C97C4B" w:rsidRPr="009B2DD9">
        <w:rPr>
          <w:rFonts w:asciiTheme="minorHAnsi" w:hAnsiTheme="minorHAnsi"/>
          <w:lang w:val="fr-FR"/>
        </w:rPr>
        <w:t xml:space="preserve"> à produit. </w:t>
      </w:r>
      <w:r w:rsidR="009B2DD9" w:rsidRPr="009B2DD9">
        <w:rPr>
          <w:rFonts w:asciiTheme="minorHAnsi" w:hAnsiTheme="minorHAnsi"/>
          <w:lang w:val="fr-FR"/>
        </w:rPr>
        <w:t xml:space="preserve">Une faible part (&lt;5%) d’électricité provenant d’une installation de cogénération sur base de gaz naturel est admise. </w:t>
      </w:r>
    </w:p>
    <w:p w:rsidR="00B92269" w:rsidRPr="00D52D0A" w:rsidRDefault="00B92269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</w:p>
    <w:p w:rsidR="00B92269" w:rsidRPr="009B2DD9" w:rsidRDefault="009B2DD9" w:rsidP="00B54BD7">
      <w:pPr>
        <w:pStyle w:val="Default"/>
        <w:spacing w:line="276" w:lineRule="auto"/>
        <w:rPr>
          <w:rFonts w:asciiTheme="minorHAnsi" w:hAnsiTheme="minorHAnsi"/>
          <w:b/>
          <w:bCs/>
          <w:i/>
          <w:iCs/>
          <w:lang w:val="fr-FR"/>
        </w:rPr>
      </w:pPr>
      <w:r w:rsidRPr="009B2DD9">
        <w:rPr>
          <w:rFonts w:asciiTheme="minorHAnsi" w:hAnsiTheme="minorHAnsi"/>
          <w:lang w:val="fr-FR"/>
        </w:rPr>
        <w:t xml:space="preserve">Afin de réduire l’impact </w:t>
      </w:r>
      <w:r w:rsidR="00430173">
        <w:rPr>
          <w:rFonts w:asciiTheme="minorHAnsi" w:hAnsiTheme="minorHAnsi"/>
          <w:lang w:val="fr-FR"/>
        </w:rPr>
        <w:t>sur l’environnement</w:t>
      </w:r>
      <w:r w:rsidRPr="009B2DD9">
        <w:rPr>
          <w:rFonts w:asciiTheme="minorHAnsi" w:hAnsiTheme="minorHAnsi"/>
          <w:lang w:val="fr-FR"/>
        </w:rPr>
        <w:t xml:space="preserve"> et de préserver l’acceptation </w:t>
      </w:r>
      <w:r w:rsidR="00430173">
        <w:rPr>
          <w:rFonts w:asciiTheme="minorHAnsi" w:hAnsiTheme="minorHAnsi"/>
          <w:lang w:val="fr-FR"/>
        </w:rPr>
        <w:t xml:space="preserve">par le </w:t>
      </w:r>
      <w:r w:rsidRPr="009B2DD9">
        <w:rPr>
          <w:rFonts w:asciiTheme="minorHAnsi" w:hAnsiTheme="minorHAnsi"/>
          <w:lang w:val="fr-FR"/>
        </w:rPr>
        <w:t xml:space="preserve">consommateur, les installations de production doivent répondre à des normes écologiques strictes. </w:t>
      </w:r>
      <w:r>
        <w:rPr>
          <w:rFonts w:asciiTheme="minorHAnsi" w:hAnsiTheme="minorHAnsi"/>
          <w:lang w:val="fr-FR"/>
        </w:rPr>
        <w:t>L</w:t>
      </w:r>
      <w:r w:rsidRPr="009B2DD9">
        <w:rPr>
          <w:rFonts w:asciiTheme="minorHAnsi" w:hAnsiTheme="minorHAnsi"/>
          <w:lang w:val="fr-FR"/>
        </w:rPr>
        <w:t xml:space="preserve">es critères respectifs sont listés ci-après suivant la source d’énergie: </w:t>
      </w:r>
    </w:p>
    <w:p w:rsidR="00855AC1" w:rsidRPr="00D52D0A" w:rsidRDefault="00855AC1" w:rsidP="00B54BD7">
      <w:pPr>
        <w:pStyle w:val="Default"/>
        <w:spacing w:line="276" w:lineRule="auto"/>
        <w:rPr>
          <w:rFonts w:asciiTheme="minorHAnsi" w:hAnsiTheme="minorHAnsi"/>
          <w:b/>
          <w:bCs/>
          <w:i/>
          <w:iCs/>
          <w:lang w:val="fr-FR"/>
        </w:rPr>
      </w:pPr>
    </w:p>
    <w:p w:rsidR="00430173" w:rsidRPr="00006CEC" w:rsidRDefault="00430173" w:rsidP="00855AC1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lang w:val="fr-FR"/>
        </w:rPr>
      </w:pPr>
      <w:r w:rsidRPr="00006CEC">
        <w:rPr>
          <w:rFonts w:asciiTheme="minorHAnsi" w:hAnsiTheme="minorHAnsi"/>
          <w:b/>
          <w:bCs/>
          <w:i/>
          <w:iCs/>
          <w:lang w:val="fr-FR"/>
        </w:rPr>
        <w:t xml:space="preserve">Energie hydraulique </w:t>
      </w:r>
    </w:p>
    <w:p w:rsidR="004B06E8" w:rsidRPr="00006CEC" w:rsidRDefault="00430173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006CEC">
        <w:rPr>
          <w:rFonts w:asciiTheme="minorHAnsi" w:hAnsiTheme="minorHAnsi"/>
          <w:lang w:val="fr-FR"/>
        </w:rPr>
        <w:t xml:space="preserve">Les centrales hydro-électriques </w:t>
      </w:r>
      <w:r w:rsidR="00006CEC" w:rsidRPr="00006CEC">
        <w:rPr>
          <w:rFonts w:asciiTheme="minorHAnsi" w:hAnsiTheme="minorHAnsi"/>
          <w:lang w:val="fr-FR"/>
        </w:rPr>
        <w:t xml:space="preserve">au fil de l’eau </w:t>
      </w:r>
      <w:r w:rsidRPr="00006CEC">
        <w:rPr>
          <w:rFonts w:asciiTheme="minorHAnsi" w:hAnsiTheme="minorHAnsi"/>
          <w:lang w:val="fr-FR"/>
        </w:rPr>
        <w:t xml:space="preserve">sont en principe admises. </w:t>
      </w:r>
    </w:p>
    <w:p w:rsidR="004B06E8" w:rsidRPr="00006CEC" w:rsidRDefault="00006CEC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006CEC">
        <w:rPr>
          <w:rFonts w:asciiTheme="minorHAnsi" w:hAnsiTheme="minorHAnsi"/>
          <w:lang w:val="fr-FR"/>
        </w:rPr>
        <w:t xml:space="preserve">Pour ce qui est des centrales à accumulation par pompage, au maximum la production d’électricité nette de l’installation est admise, c’est-à-dire la production déduction faite de toutes les énergies auxiliaires (courant de pompage inclus). </w:t>
      </w:r>
    </w:p>
    <w:p w:rsidR="004B06E8" w:rsidRPr="00D52D0A" w:rsidRDefault="004B06E8" w:rsidP="00855AC1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lang w:val="fr-FR"/>
        </w:rPr>
      </w:pPr>
    </w:p>
    <w:p w:rsidR="004B06E8" w:rsidRPr="00D52D0A" w:rsidRDefault="00430173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D52D0A">
        <w:rPr>
          <w:rFonts w:asciiTheme="minorHAnsi" w:hAnsiTheme="minorHAnsi"/>
          <w:b/>
          <w:bCs/>
          <w:i/>
          <w:iCs/>
          <w:lang w:val="fr-FR"/>
        </w:rPr>
        <w:t>B</w:t>
      </w:r>
      <w:r w:rsidR="004B06E8" w:rsidRPr="00D52D0A">
        <w:rPr>
          <w:rFonts w:asciiTheme="minorHAnsi" w:hAnsiTheme="minorHAnsi"/>
          <w:b/>
          <w:bCs/>
          <w:i/>
          <w:iCs/>
          <w:lang w:val="fr-FR"/>
        </w:rPr>
        <w:t xml:space="preserve">iomasse </w:t>
      </w:r>
    </w:p>
    <w:p w:rsidR="00481425" w:rsidRPr="00317170" w:rsidRDefault="00DE791D" w:rsidP="00481425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317170">
        <w:rPr>
          <w:rFonts w:asciiTheme="minorHAnsi" w:hAnsiTheme="minorHAnsi"/>
          <w:lang w:val="fr-FR"/>
        </w:rPr>
        <w:t xml:space="preserve">Seules les matières de biomasse suivantes sont admises dans la production de </w:t>
      </w:r>
      <w:r w:rsidR="00501C8B">
        <w:rPr>
          <w:rFonts w:asciiTheme="minorHAnsi" w:hAnsiTheme="minorHAnsi"/>
          <w:lang w:val="fr-FR"/>
        </w:rPr>
        <w:t>« </w:t>
      </w:r>
      <w:r w:rsidRPr="00317170">
        <w:rPr>
          <w:rFonts w:asciiTheme="minorHAnsi" w:hAnsiTheme="minorHAnsi"/>
          <w:lang w:val="fr-FR"/>
        </w:rPr>
        <w:t>courant vert</w:t>
      </w:r>
      <w:r w:rsidR="00501C8B">
        <w:rPr>
          <w:rFonts w:asciiTheme="minorHAnsi" w:hAnsiTheme="minorHAnsi"/>
          <w:lang w:val="fr-FR"/>
        </w:rPr>
        <w:t> »</w:t>
      </w:r>
      <w:r w:rsidRPr="00317170">
        <w:rPr>
          <w:rFonts w:asciiTheme="minorHAnsi" w:hAnsiTheme="minorHAnsi"/>
          <w:lang w:val="fr-FR"/>
        </w:rPr>
        <w:t>:</w:t>
      </w:r>
      <w:r w:rsidR="00481425" w:rsidRPr="00317170">
        <w:rPr>
          <w:rFonts w:asciiTheme="minorHAnsi" w:hAnsiTheme="minorHAnsi"/>
          <w:lang w:val="fr-FR"/>
        </w:rPr>
        <w:t xml:space="preserve"> </w:t>
      </w:r>
    </w:p>
    <w:p w:rsidR="00481425" w:rsidRPr="00317170" w:rsidRDefault="007C3061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>
        <w:rPr>
          <w:rFonts w:asciiTheme="minorHAnsi" w:hAnsiTheme="minorHAnsi"/>
          <w:color w:val="auto"/>
          <w:lang w:val="fr-FR"/>
        </w:rPr>
        <w:t>l</w:t>
      </w:r>
      <w:r w:rsidR="00DE791D" w:rsidRPr="00317170">
        <w:rPr>
          <w:rFonts w:asciiTheme="minorHAnsi" w:hAnsiTheme="minorHAnsi"/>
          <w:color w:val="auto"/>
          <w:lang w:val="fr-FR"/>
        </w:rPr>
        <w:t>es déchets et résidus de la production (du traitement) de produits alimentaires;</w:t>
      </w:r>
    </w:p>
    <w:p w:rsidR="00481425" w:rsidRPr="00317170" w:rsidRDefault="007C3061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>
        <w:rPr>
          <w:rFonts w:asciiTheme="minorHAnsi" w:hAnsiTheme="minorHAnsi"/>
          <w:color w:val="auto"/>
          <w:lang w:val="fr-FR"/>
        </w:rPr>
        <w:t>l</w:t>
      </w:r>
      <w:r w:rsidR="00DE791D" w:rsidRPr="00317170">
        <w:rPr>
          <w:rFonts w:asciiTheme="minorHAnsi" w:hAnsiTheme="minorHAnsi"/>
          <w:color w:val="auto"/>
          <w:lang w:val="fr-FR"/>
        </w:rPr>
        <w:t>a part biogène des ordures ménagères</w:t>
      </w:r>
      <w:r w:rsidR="00481425" w:rsidRPr="00317170">
        <w:rPr>
          <w:rFonts w:asciiTheme="minorHAnsi" w:hAnsiTheme="minorHAnsi"/>
          <w:color w:val="auto"/>
          <w:lang w:val="fr-FR"/>
        </w:rPr>
        <w:t>;</w:t>
      </w:r>
    </w:p>
    <w:p w:rsidR="00481425" w:rsidRPr="00317170" w:rsidRDefault="007C3061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>
        <w:rPr>
          <w:rFonts w:asciiTheme="minorHAnsi" w:hAnsiTheme="minorHAnsi"/>
          <w:color w:val="auto"/>
          <w:lang w:val="fr-FR"/>
        </w:rPr>
        <w:t>l</w:t>
      </w:r>
      <w:r w:rsidR="00DE791D" w:rsidRPr="00317170">
        <w:rPr>
          <w:rFonts w:asciiTheme="minorHAnsi" w:hAnsiTheme="minorHAnsi"/>
          <w:color w:val="auto"/>
          <w:lang w:val="fr-FR"/>
        </w:rPr>
        <w:t>e lisier et le fumier</w:t>
      </w:r>
      <w:r w:rsidR="00481425" w:rsidRPr="00317170">
        <w:rPr>
          <w:rFonts w:asciiTheme="minorHAnsi" w:hAnsiTheme="minorHAnsi"/>
          <w:color w:val="auto"/>
          <w:lang w:val="fr-FR"/>
        </w:rPr>
        <w:t>;</w:t>
      </w:r>
    </w:p>
    <w:p w:rsidR="00481425" w:rsidRPr="00317170" w:rsidRDefault="007C3061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>
        <w:rPr>
          <w:rFonts w:asciiTheme="minorHAnsi" w:hAnsiTheme="minorHAnsi"/>
          <w:color w:val="auto"/>
          <w:lang w:val="fr-FR"/>
        </w:rPr>
        <w:t>l</w:t>
      </w:r>
      <w:r w:rsidR="00DE791D" w:rsidRPr="00317170">
        <w:rPr>
          <w:rFonts w:asciiTheme="minorHAnsi" w:hAnsiTheme="minorHAnsi"/>
          <w:color w:val="auto"/>
          <w:lang w:val="fr-FR"/>
        </w:rPr>
        <w:t xml:space="preserve">e recours à des plantes énergétiques </w:t>
      </w:r>
      <w:r w:rsidR="00481425" w:rsidRPr="00317170">
        <w:rPr>
          <w:rFonts w:asciiTheme="minorHAnsi" w:hAnsiTheme="minorHAnsi"/>
          <w:color w:val="auto"/>
          <w:lang w:val="fr-FR"/>
        </w:rPr>
        <w:t>(</w:t>
      </w:r>
      <w:r w:rsidR="00EE51F3" w:rsidRPr="00317170">
        <w:rPr>
          <w:rFonts w:asciiTheme="minorHAnsi" w:hAnsiTheme="minorHAnsi"/>
          <w:color w:val="auto"/>
          <w:lang w:val="fr-FR"/>
        </w:rPr>
        <w:t>matières premières végétales/</w:t>
      </w:r>
      <w:proofErr w:type="spellStart"/>
      <w:r w:rsidR="00481425" w:rsidRPr="00317170">
        <w:rPr>
          <w:rFonts w:asciiTheme="minorHAnsi" w:hAnsiTheme="minorHAnsi"/>
          <w:color w:val="auto"/>
          <w:lang w:val="fr-FR"/>
        </w:rPr>
        <w:t>NaWaRo</w:t>
      </w:r>
      <w:proofErr w:type="spellEnd"/>
      <w:r w:rsidR="00481425" w:rsidRPr="00317170">
        <w:rPr>
          <w:rFonts w:asciiTheme="minorHAnsi" w:hAnsiTheme="minorHAnsi"/>
          <w:color w:val="auto"/>
          <w:lang w:val="fr-FR"/>
        </w:rPr>
        <w:t>)</w:t>
      </w:r>
      <w:r w:rsidR="00DE791D" w:rsidRPr="00317170">
        <w:rPr>
          <w:rFonts w:asciiTheme="minorHAnsi" w:hAnsiTheme="minorHAnsi"/>
          <w:color w:val="auto"/>
          <w:lang w:val="fr-FR"/>
        </w:rPr>
        <w:t>, mais seulement jusqu’à un maximum de 30% de toutes les matières réunies dans l</w:t>
      </w:r>
      <w:r w:rsidR="00EE51F3" w:rsidRPr="00317170">
        <w:rPr>
          <w:rFonts w:asciiTheme="minorHAnsi" w:hAnsiTheme="minorHAnsi"/>
          <w:color w:val="auto"/>
          <w:lang w:val="fr-FR"/>
        </w:rPr>
        <w:t>’installation de biogaz</w:t>
      </w:r>
      <w:r w:rsidR="00481425" w:rsidRPr="00317170">
        <w:rPr>
          <w:rFonts w:asciiTheme="minorHAnsi" w:hAnsiTheme="minorHAnsi"/>
          <w:color w:val="auto"/>
          <w:lang w:val="fr-FR"/>
        </w:rPr>
        <w:t>;</w:t>
      </w:r>
    </w:p>
    <w:p w:rsidR="00481425" w:rsidRPr="00317170" w:rsidRDefault="007C3061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>
        <w:rPr>
          <w:rFonts w:asciiTheme="minorHAnsi" w:hAnsiTheme="minorHAnsi"/>
          <w:color w:val="auto"/>
          <w:lang w:val="fr-FR"/>
        </w:rPr>
        <w:t>l</w:t>
      </w:r>
      <w:r w:rsidR="00EE51F3" w:rsidRPr="00317170">
        <w:rPr>
          <w:rFonts w:asciiTheme="minorHAnsi" w:hAnsiTheme="minorHAnsi"/>
          <w:color w:val="auto"/>
          <w:lang w:val="fr-FR"/>
        </w:rPr>
        <w:t>a biomasse provenant de surfaces boisées de manière continue est admise s’il s’agit de bois provenant de forêts à gestion durable</w:t>
      </w:r>
      <w:r w:rsidR="00770480">
        <w:rPr>
          <w:rFonts w:asciiTheme="minorHAnsi" w:hAnsiTheme="minorHAnsi"/>
          <w:color w:val="auto"/>
          <w:lang w:val="fr-FR"/>
        </w:rPr>
        <w:t xml:space="preserve"> FSC</w:t>
      </w:r>
      <w:bookmarkStart w:id="0" w:name="_GoBack"/>
      <w:bookmarkEnd w:id="0"/>
      <w:r w:rsidR="00EE51F3" w:rsidRPr="00317170">
        <w:rPr>
          <w:rFonts w:asciiTheme="minorHAnsi" w:hAnsiTheme="minorHAnsi"/>
          <w:color w:val="auto"/>
          <w:lang w:val="fr-FR"/>
        </w:rPr>
        <w:t>.</w:t>
      </w:r>
      <w:r w:rsidR="00481425" w:rsidRPr="00317170">
        <w:rPr>
          <w:rFonts w:asciiTheme="minorHAnsi" w:hAnsiTheme="minorHAnsi"/>
          <w:color w:val="auto"/>
          <w:lang w:val="fr-FR"/>
        </w:rPr>
        <w:t xml:space="preserve"> </w:t>
      </w:r>
      <w:r w:rsidR="00EE51F3" w:rsidRPr="00317170">
        <w:rPr>
          <w:rFonts w:asciiTheme="minorHAnsi" w:hAnsiTheme="minorHAnsi"/>
          <w:color w:val="auto"/>
          <w:lang w:val="fr-FR"/>
        </w:rPr>
        <w:t xml:space="preserve">Au-delà, </w:t>
      </w:r>
      <w:r w:rsidR="005D4CB0" w:rsidRPr="00317170">
        <w:rPr>
          <w:rFonts w:asciiTheme="minorHAnsi" w:hAnsiTheme="minorHAnsi"/>
          <w:color w:val="auto"/>
          <w:lang w:val="fr-FR"/>
        </w:rPr>
        <w:t xml:space="preserve">les taillis de chêne </w:t>
      </w:r>
      <w:r w:rsidR="00481425" w:rsidRPr="00317170">
        <w:rPr>
          <w:rFonts w:asciiTheme="minorHAnsi" w:hAnsiTheme="minorHAnsi"/>
          <w:lang w:val="fr-FR"/>
        </w:rPr>
        <w:t>(</w:t>
      </w:r>
      <w:r w:rsidR="005D4CB0" w:rsidRPr="00317170">
        <w:rPr>
          <w:rFonts w:asciiTheme="minorHAnsi" w:hAnsiTheme="minorHAnsi"/>
          <w:lang w:val="fr-FR"/>
        </w:rPr>
        <w:t>type de forêt de chêne particulier</w:t>
      </w:r>
      <w:r w:rsidR="00481425" w:rsidRPr="00317170">
        <w:rPr>
          <w:rFonts w:asciiTheme="minorHAnsi" w:hAnsiTheme="minorHAnsi"/>
          <w:lang w:val="fr-FR"/>
        </w:rPr>
        <w:t xml:space="preserve">) </w:t>
      </w:r>
      <w:r w:rsidR="005D4CB0" w:rsidRPr="00317170">
        <w:rPr>
          <w:rFonts w:asciiTheme="minorHAnsi" w:hAnsiTheme="minorHAnsi"/>
          <w:lang w:val="fr-FR"/>
        </w:rPr>
        <w:t>sont considérés comme étant des plantations de bois énergétiques admises – véhiculant l’objectif déclaré de revitaliser ces  écosystèmes – tout comme les bois issus de mesures de protection et de conservation de la nature</w:t>
      </w:r>
      <w:r w:rsidR="00394CAC" w:rsidRPr="00317170">
        <w:rPr>
          <w:rFonts w:asciiTheme="minorHAnsi" w:hAnsiTheme="minorHAnsi"/>
          <w:lang w:val="fr-FR"/>
        </w:rPr>
        <w:t>/paysages ruraux entretenus (entretien de haies</w:t>
      </w:r>
      <w:r w:rsidR="005D4CB0" w:rsidRPr="00317170">
        <w:rPr>
          <w:rFonts w:asciiTheme="minorHAnsi" w:hAnsiTheme="minorHAnsi"/>
          <w:lang w:val="fr-FR"/>
        </w:rPr>
        <w:t xml:space="preserve"> </w:t>
      </w:r>
      <w:r w:rsidR="00481425" w:rsidRPr="00317170">
        <w:rPr>
          <w:rFonts w:asciiTheme="minorHAnsi" w:hAnsiTheme="minorHAnsi"/>
          <w:color w:val="auto"/>
          <w:lang w:val="fr-FR"/>
        </w:rPr>
        <w:t xml:space="preserve"> </w:t>
      </w:r>
      <w:r w:rsidR="00394CAC" w:rsidRPr="00317170">
        <w:rPr>
          <w:rFonts w:asciiTheme="minorHAnsi" w:hAnsiTheme="minorHAnsi"/>
          <w:color w:val="auto"/>
          <w:lang w:val="fr-FR"/>
        </w:rPr>
        <w:t xml:space="preserve">ou </w:t>
      </w:r>
      <w:r w:rsidR="00481425" w:rsidRPr="00317170">
        <w:rPr>
          <w:rFonts w:asciiTheme="minorHAnsi" w:hAnsiTheme="minorHAnsi"/>
          <w:color w:val="auto"/>
          <w:lang w:val="fr-FR"/>
        </w:rPr>
        <w:t xml:space="preserve"> </w:t>
      </w:r>
      <w:r w:rsidR="00394CAC" w:rsidRPr="00317170">
        <w:rPr>
          <w:rFonts w:asciiTheme="minorHAnsi" w:hAnsiTheme="minorHAnsi"/>
          <w:color w:val="auto"/>
          <w:lang w:val="fr-FR"/>
        </w:rPr>
        <w:t xml:space="preserve">plantations à croissance rapide ayant des objectifs similaires, comme p.ex. la protection contre l’érosion); </w:t>
      </w:r>
    </w:p>
    <w:p w:rsidR="00481425" w:rsidRPr="00317170" w:rsidRDefault="00394CAC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 w:rsidRPr="00317170">
        <w:rPr>
          <w:rFonts w:asciiTheme="minorHAnsi" w:hAnsiTheme="minorHAnsi"/>
          <w:color w:val="auto"/>
          <w:lang w:val="fr-FR"/>
        </w:rPr>
        <w:t>m</w:t>
      </w:r>
      <w:r w:rsidR="00481425" w:rsidRPr="00317170">
        <w:rPr>
          <w:rFonts w:asciiTheme="minorHAnsi" w:hAnsiTheme="minorHAnsi"/>
          <w:color w:val="auto"/>
          <w:lang w:val="fr-FR"/>
        </w:rPr>
        <w:t>iscanthus/</w:t>
      </w:r>
      <w:r w:rsidRPr="00317170">
        <w:rPr>
          <w:rFonts w:asciiTheme="minorHAnsi" w:hAnsiTheme="minorHAnsi"/>
          <w:color w:val="auto"/>
          <w:lang w:val="fr-FR"/>
        </w:rPr>
        <w:t>roseaux</w:t>
      </w:r>
      <w:r w:rsidR="00481425" w:rsidRPr="00317170">
        <w:rPr>
          <w:rFonts w:asciiTheme="minorHAnsi" w:hAnsiTheme="minorHAnsi"/>
          <w:color w:val="auto"/>
          <w:lang w:val="fr-FR"/>
        </w:rPr>
        <w:t>;</w:t>
      </w:r>
    </w:p>
    <w:p w:rsidR="00481425" w:rsidRPr="00317170" w:rsidRDefault="001433B8" w:rsidP="004814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lang w:val="fr-FR"/>
        </w:rPr>
      </w:pPr>
      <w:r w:rsidRPr="00317170">
        <w:rPr>
          <w:rFonts w:asciiTheme="minorHAnsi" w:hAnsiTheme="minorHAnsi"/>
          <w:color w:val="auto"/>
          <w:lang w:val="fr-FR"/>
        </w:rPr>
        <w:t xml:space="preserve">les bois sans </w:t>
      </w:r>
      <w:r w:rsidR="00317170">
        <w:rPr>
          <w:rFonts w:asciiTheme="minorHAnsi" w:hAnsiTheme="minorHAnsi"/>
          <w:color w:val="auto"/>
          <w:lang w:val="fr-FR"/>
        </w:rPr>
        <w:t xml:space="preserve">prise en </w:t>
      </w:r>
      <w:r w:rsidR="00317170" w:rsidRPr="00317170">
        <w:rPr>
          <w:rFonts w:asciiTheme="minorHAnsi" w:hAnsiTheme="minorHAnsi"/>
          <w:color w:val="auto"/>
          <w:lang w:val="fr-FR"/>
        </w:rPr>
        <w:t>considération de la surface</w:t>
      </w:r>
      <w:r w:rsidR="00481425" w:rsidRPr="00317170">
        <w:rPr>
          <w:rFonts w:asciiTheme="minorHAnsi" w:hAnsiTheme="minorHAnsi"/>
          <w:color w:val="auto"/>
          <w:lang w:val="fr-FR"/>
        </w:rPr>
        <w:t xml:space="preserve"> </w:t>
      </w:r>
      <w:r w:rsidR="00D52D0A">
        <w:rPr>
          <w:rFonts w:asciiTheme="minorHAnsi" w:hAnsiTheme="minorHAnsi"/>
          <w:color w:val="auto"/>
          <w:lang w:val="fr-FR"/>
        </w:rPr>
        <w:t xml:space="preserve">forestière </w:t>
      </w:r>
      <w:r w:rsidR="00481425" w:rsidRPr="00317170">
        <w:rPr>
          <w:rFonts w:asciiTheme="minorHAnsi" w:hAnsiTheme="minorHAnsi"/>
          <w:color w:val="auto"/>
          <w:lang w:val="fr-FR"/>
        </w:rPr>
        <w:t>(</w:t>
      </w:r>
      <w:r w:rsidRPr="00317170">
        <w:rPr>
          <w:rFonts w:asciiTheme="minorHAnsi" w:hAnsiTheme="minorHAnsi"/>
          <w:color w:val="auto"/>
          <w:lang w:val="fr-FR"/>
        </w:rPr>
        <w:t>p.ex. vieux bois</w:t>
      </w:r>
      <w:r w:rsidR="00481425" w:rsidRPr="00317170">
        <w:rPr>
          <w:rFonts w:asciiTheme="minorHAnsi" w:hAnsiTheme="minorHAnsi"/>
          <w:color w:val="auto"/>
          <w:lang w:val="fr-FR"/>
        </w:rPr>
        <w:t xml:space="preserve">) </w:t>
      </w:r>
      <w:r w:rsidR="00317170" w:rsidRPr="00317170">
        <w:rPr>
          <w:rFonts w:asciiTheme="minorHAnsi" w:hAnsiTheme="minorHAnsi"/>
          <w:color w:val="auto"/>
          <w:lang w:val="fr-FR"/>
        </w:rPr>
        <w:t>ne sont admis que lorsqu’il s’agit de bois laissés à l’état naturel, de bois traités uniquement mécaniquement</w:t>
      </w:r>
      <w:r w:rsidR="00481425" w:rsidRPr="00317170">
        <w:rPr>
          <w:rFonts w:asciiTheme="minorHAnsi" w:hAnsiTheme="minorHAnsi"/>
          <w:color w:val="auto"/>
          <w:lang w:val="fr-FR"/>
        </w:rPr>
        <w:t xml:space="preserve"> </w:t>
      </w:r>
      <w:r w:rsidR="00317170" w:rsidRPr="00317170">
        <w:rPr>
          <w:rFonts w:asciiTheme="minorHAnsi" w:hAnsiTheme="minorHAnsi"/>
          <w:color w:val="auto"/>
          <w:lang w:val="fr-FR"/>
        </w:rPr>
        <w:t xml:space="preserve">ou de produits de bois recyclés. </w:t>
      </w:r>
    </w:p>
    <w:p w:rsidR="00481425" w:rsidRPr="00D52D0A" w:rsidRDefault="00481425" w:rsidP="00481425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</w:p>
    <w:p w:rsidR="00EC44CE" w:rsidRPr="007C3061" w:rsidRDefault="007C3061" w:rsidP="00481425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7C3061">
        <w:rPr>
          <w:rFonts w:asciiTheme="minorHAnsi" w:hAnsiTheme="minorHAnsi"/>
          <w:lang w:val="fr-FR"/>
        </w:rPr>
        <w:lastRenderedPageBreak/>
        <w:t xml:space="preserve">Les plantes énergétiques, le lisier/fumier, les déchets/résidus ainsi que le bois/les combustibles d’origine ligneuse proviennent de préférence de la région d’implantation de l’unité de production. </w:t>
      </w:r>
    </w:p>
    <w:p w:rsidR="00481425" w:rsidRPr="00D52D0A" w:rsidRDefault="00481425" w:rsidP="00481425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lang w:val="fr-FR"/>
        </w:rPr>
      </w:pPr>
    </w:p>
    <w:p w:rsidR="00CB720E" w:rsidRPr="00BE0616" w:rsidRDefault="00430173" w:rsidP="00CB720E">
      <w:pPr>
        <w:pStyle w:val="Default"/>
        <w:spacing w:line="276" w:lineRule="auto"/>
        <w:rPr>
          <w:rFonts w:asciiTheme="minorHAnsi" w:hAnsiTheme="minorHAnsi"/>
          <w:lang w:val="fr-FR"/>
        </w:rPr>
      </w:pPr>
      <w:r w:rsidRPr="00BE0616">
        <w:rPr>
          <w:rFonts w:asciiTheme="minorHAnsi" w:hAnsiTheme="minorHAnsi"/>
          <w:b/>
          <w:bCs/>
          <w:i/>
          <w:iCs/>
          <w:lang w:val="fr-FR"/>
        </w:rPr>
        <w:t xml:space="preserve">Energie solaire </w:t>
      </w:r>
    </w:p>
    <w:p w:rsidR="004B06E8" w:rsidRPr="00BE0616" w:rsidRDefault="007C3061" w:rsidP="00CB720E">
      <w:pPr>
        <w:pStyle w:val="Default"/>
        <w:spacing w:line="276" w:lineRule="auto"/>
        <w:rPr>
          <w:rFonts w:asciiTheme="minorHAnsi" w:hAnsiTheme="minorHAnsi"/>
          <w:lang w:val="fr-FR"/>
        </w:rPr>
      </w:pPr>
      <w:r w:rsidRPr="00BE0616">
        <w:rPr>
          <w:rFonts w:asciiTheme="minorHAnsi" w:hAnsiTheme="minorHAnsi"/>
          <w:lang w:val="fr-FR"/>
        </w:rPr>
        <w:t xml:space="preserve">Le courant </w:t>
      </w:r>
      <w:r w:rsidR="00A61BAB" w:rsidRPr="00BE0616">
        <w:rPr>
          <w:rFonts w:asciiTheme="minorHAnsi" w:hAnsiTheme="minorHAnsi"/>
          <w:lang w:val="fr-FR"/>
        </w:rPr>
        <w:t xml:space="preserve">produit dans les </w:t>
      </w:r>
      <w:r w:rsidRPr="00BE0616">
        <w:rPr>
          <w:rFonts w:asciiTheme="minorHAnsi" w:hAnsiTheme="minorHAnsi"/>
          <w:lang w:val="fr-FR"/>
        </w:rPr>
        <w:t>installation</w:t>
      </w:r>
      <w:r w:rsidR="00A61BAB" w:rsidRPr="00BE0616">
        <w:rPr>
          <w:rFonts w:asciiTheme="minorHAnsi" w:hAnsiTheme="minorHAnsi"/>
          <w:lang w:val="fr-FR"/>
        </w:rPr>
        <w:t>s photovol</w:t>
      </w:r>
      <w:r w:rsidRPr="00BE0616">
        <w:rPr>
          <w:rFonts w:asciiTheme="minorHAnsi" w:hAnsiTheme="minorHAnsi"/>
          <w:lang w:val="fr-FR"/>
        </w:rPr>
        <w:t>t</w:t>
      </w:r>
      <w:r w:rsidR="00A61BAB" w:rsidRPr="00BE0616">
        <w:rPr>
          <w:rFonts w:asciiTheme="minorHAnsi" w:hAnsiTheme="minorHAnsi"/>
          <w:lang w:val="fr-FR"/>
        </w:rPr>
        <w:t>aïques sur les bâtimen</w:t>
      </w:r>
      <w:r w:rsidRPr="00BE0616">
        <w:rPr>
          <w:rFonts w:asciiTheme="minorHAnsi" w:hAnsiTheme="minorHAnsi"/>
          <w:lang w:val="fr-FR"/>
        </w:rPr>
        <w:t xml:space="preserve">ts </w:t>
      </w:r>
      <w:r w:rsidR="00A61BAB" w:rsidRPr="00BE0616">
        <w:rPr>
          <w:rFonts w:asciiTheme="minorHAnsi" w:hAnsiTheme="minorHAnsi"/>
          <w:lang w:val="fr-FR"/>
        </w:rPr>
        <w:t>ou</w:t>
      </w:r>
      <w:r w:rsidRPr="00BE0616">
        <w:rPr>
          <w:rFonts w:asciiTheme="minorHAnsi" w:hAnsiTheme="minorHAnsi"/>
          <w:lang w:val="fr-FR"/>
        </w:rPr>
        <w:t xml:space="preserve"> </w:t>
      </w:r>
      <w:r w:rsidR="00A61BAB" w:rsidRPr="00BE0616">
        <w:rPr>
          <w:rFonts w:asciiTheme="minorHAnsi" w:hAnsiTheme="minorHAnsi"/>
          <w:lang w:val="fr-FR"/>
        </w:rPr>
        <w:t>fourni par l’</w:t>
      </w:r>
      <w:r w:rsidRPr="00BE0616">
        <w:rPr>
          <w:rFonts w:asciiTheme="minorHAnsi" w:hAnsiTheme="minorHAnsi"/>
          <w:lang w:val="fr-FR"/>
        </w:rPr>
        <w:t xml:space="preserve">énergie solaire thermique </w:t>
      </w:r>
      <w:r w:rsidR="00A61BAB" w:rsidRPr="00BE0616">
        <w:rPr>
          <w:rFonts w:asciiTheme="minorHAnsi" w:hAnsiTheme="minorHAnsi"/>
          <w:lang w:val="fr-FR"/>
        </w:rPr>
        <w:t>est en principe admis.</w:t>
      </w:r>
      <w:r w:rsidR="00F26067" w:rsidRPr="00BE0616">
        <w:rPr>
          <w:rFonts w:asciiTheme="minorHAnsi" w:hAnsiTheme="minorHAnsi"/>
          <w:lang w:val="fr-FR"/>
        </w:rPr>
        <w:t xml:space="preserve"> </w:t>
      </w:r>
      <w:r w:rsidR="00A61BAB" w:rsidRPr="00BE0616">
        <w:rPr>
          <w:rFonts w:asciiTheme="minorHAnsi" w:hAnsiTheme="minorHAnsi"/>
          <w:lang w:val="fr-FR"/>
        </w:rPr>
        <w:t xml:space="preserve">Le courant provenant d’installations photovoltaïques érigées sur des surfaces libres </w:t>
      </w:r>
      <w:r w:rsidR="00BE0616" w:rsidRPr="00BE0616">
        <w:rPr>
          <w:rFonts w:asciiTheme="minorHAnsi" w:hAnsiTheme="minorHAnsi"/>
          <w:lang w:val="fr-FR"/>
        </w:rPr>
        <w:t xml:space="preserve">dans les parcs nationaux, les réserves naturelles, les réserves de biosphères et les sites classés, n’est pas admis. </w:t>
      </w:r>
    </w:p>
    <w:p w:rsidR="0014635C" w:rsidRPr="00D52D0A" w:rsidRDefault="0014635C" w:rsidP="00855AC1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lang w:val="fr-FR"/>
        </w:rPr>
      </w:pPr>
    </w:p>
    <w:p w:rsidR="004B06E8" w:rsidRPr="00AE124B" w:rsidRDefault="00430173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AE124B">
        <w:rPr>
          <w:rFonts w:asciiTheme="minorHAnsi" w:hAnsiTheme="minorHAnsi"/>
          <w:b/>
          <w:bCs/>
          <w:i/>
          <w:iCs/>
          <w:lang w:val="fr-FR"/>
        </w:rPr>
        <w:t xml:space="preserve">Energie éolienne </w:t>
      </w:r>
    </w:p>
    <w:p w:rsidR="004B06E8" w:rsidRPr="00AE124B" w:rsidRDefault="00BE0616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AE124B">
        <w:rPr>
          <w:rFonts w:asciiTheme="minorHAnsi" w:hAnsiTheme="minorHAnsi"/>
          <w:lang w:val="fr-FR"/>
        </w:rPr>
        <w:t xml:space="preserve">Le courant provenant d’éoliennes </w:t>
      </w:r>
      <w:r w:rsidRPr="00AE124B">
        <w:rPr>
          <w:rFonts w:asciiTheme="minorHAnsi" w:hAnsiTheme="minorHAnsi"/>
          <w:i/>
          <w:lang w:val="fr-FR"/>
        </w:rPr>
        <w:t>o</w:t>
      </w:r>
      <w:r w:rsidR="004B06E8" w:rsidRPr="00AE124B">
        <w:rPr>
          <w:rFonts w:asciiTheme="minorHAnsi" w:hAnsiTheme="minorHAnsi"/>
          <w:i/>
          <w:lang w:val="fr-FR"/>
        </w:rPr>
        <w:t>ffshore</w:t>
      </w:r>
      <w:r w:rsidR="00AE124B">
        <w:rPr>
          <w:rFonts w:asciiTheme="minorHAnsi" w:hAnsiTheme="minorHAnsi"/>
          <w:i/>
          <w:lang w:val="fr-FR"/>
        </w:rPr>
        <w:t xml:space="preserve"> (en mer)</w:t>
      </w:r>
      <w:r w:rsidR="00AE124B" w:rsidRPr="00AE124B">
        <w:rPr>
          <w:rFonts w:asciiTheme="minorHAnsi" w:hAnsiTheme="minorHAnsi"/>
          <w:lang w:val="fr-FR"/>
        </w:rPr>
        <w:t xml:space="preserve"> et </w:t>
      </w:r>
      <w:proofErr w:type="spellStart"/>
      <w:r w:rsidR="00AE124B" w:rsidRPr="00AE124B">
        <w:rPr>
          <w:rFonts w:asciiTheme="minorHAnsi" w:hAnsiTheme="minorHAnsi"/>
          <w:i/>
          <w:lang w:val="fr-FR"/>
        </w:rPr>
        <w:t>o</w:t>
      </w:r>
      <w:r w:rsidR="004B06E8" w:rsidRPr="00AE124B">
        <w:rPr>
          <w:rFonts w:asciiTheme="minorHAnsi" w:hAnsiTheme="minorHAnsi"/>
          <w:i/>
          <w:lang w:val="fr-FR"/>
        </w:rPr>
        <w:t>nshore</w:t>
      </w:r>
      <w:proofErr w:type="spellEnd"/>
      <w:r w:rsidR="00AE124B">
        <w:rPr>
          <w:rFonts w:asciiTheme="minorHAnsi" w:hAnsiTheme="minorHAnsi"/>
          <w:i/>
          <w:lang w:val="fr-FR"/>
        </w:rPr>
        <w:t xml:space="preserve"> (terrestres)</w:t>
      </w:r>
      <w:r w:rsidR="00AE124B" w:rsidRPr="00AE124B">
        <w:rPr>
          <w:rFonts w:asciiTheme="minorHAnsi" w:hAnsiTheme="minorHAnsi"/>
          <w:lang w:val="fr-FR"/>
        </w:rPr>
        <w:t xml:space="preserve"> érigées dans les parcs nationaux et autres zones de protection spéciale, n’est pas admis. </w:t>
      </w:r>
    </w:p>
    <w:p w:rsidR="00AC31B3" w:rsidRPr="00D52D0A" w:rsidRDefault="00AC31B3" w:rsidP="00855AC1">
      <w:pPr>
        <w:pStyle w:val="Default"/>
        <w:spacing w:line="276" w:lineRule="auto"/>
        <w:jc w:val="both"/>
        <w:rPr>
          <w:rFonts w:asciiTheme="minorHAnsi" w:hAnsiTheme="minorHAnsi"/>
          <w:b/>
          <w:bCs/>
          <w:i/>
          <w:iCs/>
          <w:lang w:val="fr-FR"/>
        </w:rPr>
      </w:pPr>
    </w:p>
    <w:p w:rsidR="004B06E8" w:rsidRPr="00927F75" w:rsidRDefault="00430173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927F75">
        <w:rPr>
          <w:rFonts w:asciiTheme="minorHAnsi" w:hAnsiTheme="minorHAnsi"/>
          <w:b/>
          <w:bCs/>
          <w:i/>
          <w:iCs/>
          <w:lang w:val="fr-FR"/>
        </w:rPr>
        <w:t xml:space="preserve">Autres sources d’énergies </w:t>
      </w:r>
    </w:p>
    <w:p w:rsidR="004B06E8" w:rsidRPr="00927F75" w:rsidRDefault="00AE124B" w:rsidP="00855AC1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927F75">
        <w:rPr>
          <w:rFonts w:asciiTheme="minorHAnsi" w:hAnsiTheme="minorHAnsi"/>
          <w:lang w:val="fr-FR"/>
        </w:rPr>
        <w:t>Pour le courant à base d</w:t>
      </w:r>
      <w:r w:rsidR="00927F75" w:rsidRPr="00927F75">
        <w:rPr>
          <w:rFonts w:asciiTheme="minorHAnsi" w:hAnsiTheme="minorHAnsi"/>
          <w:lang w:val="fr-FR"/>
        </w:rPr>
        <w:t>’énergi</w:t>
      </w:r>
      <w:r w:rsidRPr="00927F75">
        <w:rPr>
          <w:rFonts w:asciiTheme="minorHAnsi" w:hAnsiTheme="minorHAnsi"/>
          <w:lang w:val="fr-FR"/>
        </w:rPr>
        <w:t>e géothermi</w:t>
      </w:r>
      <w:r w:rsidR="00927F75" w:rsidRPr="00927F75">
        <w:rPr>
          <w:rFonts w:asciiTheme="minorHAnsi" w:hAnsiTheme="minorHAnsi"/>
          <w:lang w:val="fr-FR"/>
        </w:rPr>
        <w:t>qu</w:t>
      </w:r>
      <w:r w:rsidRPr="00927F75">
        <w:rPr>
          <w:rFonts w:asciiTheme="minorHAnsi" w:hAnsiTheme="minorHAnsi"/>
          <w:lang w:val="fr-FR"/>
        </w:rPr>
        <w:t>e, il n’y a pas de conditions qui dépasseraient les exigences juridiques.</w:t>
      </w:r>
      <w:r w:rsidR="004B06E8" w:rsidRPr="00927F75">
        <w:rPr>
          <w:rFonts w:asciiTheme="minorHAnsi" w:hAnsiTheme="minorHAnsi"/>
          <w:lang w:val="fr-FR"/>
        </w:rPr>
        <w:t xml:space="preserve"> </w:t>
      </w:r>
    </w:p>
    <w:p w:rsidR="004B06E8" w:rsidRPr="00D52D0A" w:rsidRDefault="004B06E8" w:rsidP="00B54BD7">
      <w:pPr>
        <w:pStyle w:val="Default"/>
        <w:spacing w:line="276" w:lineRule="auto"/>
        <w:rPr>
          <w:rFonts w:asciiTheme="minorHAnsi" w:hAnsiTheme="minorHAnsi"/>
          <w:b/>
          <w:bCs/>
          <w:lang w:val="fr-FR"/>
        </w:rPr>
      </w:pPr>
    </w:p>
    <w:p w:rsidR="004B06E8" w:rsidRPr="003F7363" w:rsidRDefault="00430173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  <w:r w:rsidRPr="003F7363">
        <w:rPr>
          <w:rFonts w:asciiTheme="minorHAnsi" w:hAnsiTheme="minorHAnsi"/>
          <w:b/>
          <w:bCs/>
          <w:lang w:val="fr-FR"/>
        </w:rPr>
        <w:t xml:space="preserve">Les installations de production non admises </w:t>
      </w:r>
    </w:p>
    <w:p w:rsidR="004B06E8" w:rsidRPr="003F7363" w:rsidRDefault="0000282B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  <w:r w:rsidRPr="003F7363">
        <w:rPr>
          <w:rFonts w:asciiTheme="minorHAnsi" w:hAnsiTheme="minorHAnsi"/>
          <w:lang w:val="fr-FR"/>
        </w:rPr>
        <w:t>Il y a lieu de préciser les sources d’énergies non admis</w:t>
      </w:r>
      <w:r w:rsidR="00501C8B">
        <w:rPr>
          <w:rFonts w:asciiTheme="minorHAnsi" w:hAnsiTheme="minorHAnsi"/>
          <w:lang w:val="fr-FR"/>
        </w:rPr>
        <w:t>es dans la liste des tarifs de « courant vert »</w:t>
      </w:r>
      <w:r w:rsidR="003F7363">
        <w:rPr>
          <w:rFonts w:asciiTheme="minorHAnsi" w:hAnsiTheme="minorHAnsi"/>
          <w:lang w:val="fr-FR"/>
        </w:rPr>
        <w:t xml:space="preserve">, </w:t>
      </w:r>
      <w:r w:rsidRPr="003F7363">
        <w:rPr>
          <w:rFonts w:asciiTheme="minorHAnsi" w:hAnsiTheme="minorHAnsi"/>
          <w:lang w:val="fr-FR"/>
        </w:rPr>
        <w:t>qui sont les suivantes</w:t>
      </w:r>
      <w:r w:rsidR="004B06E8" w:rsidRPr="003F7363">
        <w:rPr>
          <w:rFonts w:asciiTheme="minorHAnsi" w:hAnsiTheme="minorHAnsi"/>
          <w:lang w:val="fr-FR"/>
        </w:rPr>
        <w:t>:</w:t>
      </w:r>
    </w:p>
    <w:p w:rsidR="004B06E8" w:rsidRPr="003F7363" w:rsidRDefault="0000282B" w:rsidP="00B54B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2" w:line="276" w:lineRule="auto"/>
        <w:rPr>
          <w:rFonts w:cs="Arial"/>
          <w:color w:val="000000"/>
          <w:sz w:val="24"/>
          <w:szCs w:val="24"/>
          <w:lang w:val="fr-FR"/>
        </w:rPr>
      </w:pPr>
      <w:r w:rsidRPr="003F7363">
        <w:rPr>
          <w:rFonts w:cs="Arial"/>
          <w:color w:val="000000"/>
          <w:sz w:val="24"/>
          <w:szCs w:val="24"/>
          <w:lang w:val="fr-FR"/>
        </w:rPr>
        <w:t xml:space="preserve">courant provenant d’installations de traitement thermique des déchets, à moins qu’il ne soit confirmé, pour les quantités de production concrètes, qu’il s’agit </w:t>
      </w:r>
      <w:r w:rsidR="003F7363">
        <w:rPr>
          <w:rFonts w:cs="Arial"/>
          <w:color w:val="000000"/>
          <w:sz w:val="24"/>
          <w:szCs w:val="24"/>
          <w:lang w:val="fr-FR"/>
        </w:rPr>
        <w:t xml:space="preserve">effectivement </w:t>
      </w:r>
      <w:r w:rsidRPr="003F7363">
        <w:rPr>
          <w:rFonts w:cs="Arial"/>
          <w:color w:val="000000"/>
          <w:sz w:val="24"/>
          <w:szCs w:val="24"/>
          <w:lang w:val="fr-FR"/>
        </w:rPr>
        <w:t>de biomasse conforme aux normes mentionnées ci-dessus;</w:t>
      </w:r>
      <w:r w:rsidR="004B06E8" w:rsidRPr="003F7363">
        <w:rPr>
          <w:rFonts w:cs="Arial"/>
          <w:color w:val="000000"/>
          <w:sz w:val="24"/>
          <w:szCs w:val="24"/>
          <w:lang w:val="fr-FR"/>
        </w:rPr>
        <w:t xml:space="preserve"> </w:t>
      </w:r>
    </w:p>
    <w:p w:rsidR="004B06E8" w:rsidRPr="003F7363" w:rsidRDefault="0000282B" w:rsidP="00B54B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2" w:line="276" w:lineRule="auto"/>
        <w:rPr>
          <w:rFonts w:cs="Arial"/>
          <w:color w:val="000000"/>
          <w:sz w:val="24"/>
          <w:szCs w:val="24"/>
          <w:lang w:val="fr-FR"/>
        </w:rPr>
      </w:pPr>
      <w:r w:rsidRPr="003F7363">
        <w:rPr>
          <w:rFonts w:cs="Arial"/>
          <w:color w:val="000000"/>
          <w:sz w:val="24"/>
          <w:szCs w:val="24"/>
          <w:lang w:val="fr-FR"/>
        </w:rPr>
        <w:t>courant à base de gaz de décharges</w:t>
      </w:r>
      <w:r w:rsidR="006B1026" w:rsidRPr="003F7363">
        <w:rPr>
          <w:rFonts w:cs="Arial"/>
          <w:color w:val="000000"/>
          <w:sz w:val="24"/>
          <w:szCs w:val="24"/>
          <w:lang w:val="fr-FR"/>
        </w:rPr>
        <w:t>;</w:t>
      </w:r>
      <w:r w:rsidR="004B06E8" w:rsidRPr="003F7363">
        <w:rPr>
          <w:rFonts w:cs="Arial"/>
          <w:color w:val="000000"/>
          <w:sz w:val="24"/>
          <w:szCs w:val="24"/>
          <w:lang w:val="fr-FR"/>
        </w:rPr>
        <w:t xml:space="preserve"> </w:t>
      </w:r>
    </w:p>
    <w:p w:rsidR="004B06E8" w:rsidRPr="003F7363" w:rsidRDefault="0000282B" w:rsidP="00B54B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2" w:line="276" w:lineRule="auto"/>
        <w:rPr>
          <w:rFonts w:cs="Arial"/>
          <w:color w:val="000000"/>
          <w:sz w:val="24"/>
          <w:szCs w:val="24"/>
          <w:lang w:val="fr-FR"/>
        </w:rPr>
      </w:pPr>
      <w:r w:rsidRPr="003F7363">
        <w:rPr>
          <w:rFonts w:cs="Arial"/>
          <w:color w:val="000000"/>
          <w:sz w:val="24"/>
          <w:szCs w:val="24"/>
          <w:lang w:val="fr-FR"/>
        </w:rPr>
        <w:t>courant à base de grisou</w:t>
      </w:r>
      <w:r w:rsidR="006B1026" w:rsidRPr="003F7363">
        <w:rPr>
          <w:rFonts w:cs="Arial"/>
          <w:color w:val="000000"/>
          <w:sz w:val="24"/>
          <w:szCs w:val="24"/>
          <w:lang w:val="fr-FR"/>
        </w:rPr>
        <w:t>;</w:t>
      </w:r>
    </w:p>
    <w:p w:rsidR="004B06E8" w:rsidRPr="003F7363" w:rsidRDefault="0000282B" w:rsidP="00B54B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2" w:line="276" w:lineRule="auto"/>
        <w:rPr>
          <w:rFonts w:cs="Arial"/>
          <w:color w:val="000000"/>
          <w:sz w:val="24"/>
          <w:szCs w:val="24"/>
          <w:lang w:val="fr-FR"/>
        </w:rPr>
      </w:pPr>
      <w:r w:rsidRPr="003F7363">
        <w:rPr>
          <w:rFonts w:cs="Arial"/>
          <w:color w:val="000000"/>
          <w:sz w:val="24"/>
          <w:szCs w:val="24"/>
          <w:lang w:val="fr-FR"/>
        </w:rPr>
        <w:t>courant à base de tourbe</w:t>
      </w:r>
      <w:r w:rsidR="006B1026" w:rsidRPr="003F7363">
        <w:rPr>
          <w:rFonts w:cs="Arial"/>
          <w:color w:val="000000"/>
          <w:sz w:val="24"/>
          <w:szCs w:val="24"/>
          <w:lang w:val="fr-FR"/>
        </w:rPr>
        <w:t>;</w:t>
      </w:r>
      <w:r w:rsidR="004B06E8" w:rsidRPr="003F7363">
        <w:rPr>
          <w:rFonts w:cs="Arial"/>
          <w:color w:val="000000"/>
          <w:sz w:val="24"/>
          <w:szCs w:val="24"/>
          <w:lang w:val="fr-FR"/>
        </w:rPr>
        <w:t xml:space="preserve"> </w:t>
      </w:r>
    </w:p>
    <w:p w:rsidR="004B06E8" w:rsidRPr="003F7363" w:rsidRDefault="0000282B" w:rsidP="00B54B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  <w:lang w:val="fr-FR"/>
        </w:rPr>
      </w:pPr>
      <w:r w:rsidRPr="003F7363">
        <w:rPr>
          <w:rFonts w:cs="Arial"/>
          <w:color w:val="000000"/>
          <w:sz w:val="24"/>
          <w:szCs w:val="24"/>
          <w:lang w:val="fr-FR"/>
        </w:rPr>
        <w:t xml:space="preserve">courant à base d’énergies fossiles </w:t>
      </w:r>
      <w:r w:rsidR="0010002A" w:rsidRPr="003F7363">
        <w:rPr>
          <w:rFonts w:cs="Arial"/>
          <w:color w:val="000000"/>
          <w:sz w:val="24"/>
          <w:szCs w:val="24"/>
          <w:lang w:val="fr-FR"/>
        </w:rPr>
        <w:t>(</w:t>
      </w:r>
      <w:r w:rsidRPr="003F7363">
        <w:rPr>
          <w:rFonts w:cs="Arial"/>
          <w:color w:val="000000"/>
          <w:sz w:val="24"/>
          <w:szCs w:val="24"/>
          <w:lang w:val="fr-FR"/>
        </w:rPr>
        <w:t xml:space="preserve">une part </w:t>
      </w:r>
      <w:r w:rsidR="0010002A" w:rsidRPr="003F7363">
        <w:rPr>
          <w:rFonts w:cs="Arial"/>
          <w:color w:val="000000"/>
          <w:sz w:val="24"/>
          <w:szCs w:val="24"/>
          <w:lang w:val="fr-FR"/>
        </w:rPr>
        <w:t xml:space="preserve">&lt; 5% </w:t>
      </w:r>
      <w:r w:rsidRPr="003F7363">
        <w:rPr>
          <w:rFonts w:cs="Arial"/>
          <w:color w:val="000000"/>
          <w:sz w:val="24"/>
          <w:szCs w:val="24"/>
          <w:lang w:val="fr-FR"/>
        </w:rPr>
        <w:t xml:space="preserve">provenant d’une installation de cogénération </w:t>
      </w:r>
      <w:r w:rsidR="003F7363" w:rsidRPr="003F7363">
        <w:rPr>
          <w:rFonts w:cs="Arial"/>
          <w:color w:val="000000"/>
          <w:sz w:val="24"/>
          <w:szCs w:val="24"/>
          <w:lang w:val="fr-FR"/>
        </w:rPr>
        <w:t xml:space="preserve">au gaz naturel </w:t>
      </w:r>
      <w:r w:rsidRPr="003F7363">
        <w:rPr>
          <w:rFonts w:cs="Arial"/>
          <w:color w:val="000000"/>
          <w:sz w:val="24"/>
          <w:szCs w:val="24"/>
          <w:lang w:val="fr-FR"/>
        </w:rPr>
        <w:t>est admise</w:t>
      </w:r>
      <w:r w:rsidR="00481425" w:rsidRPr="003F7363">
        <w:rPr>
          <w:rFonts w:cs="Arial"/>
          <w:color w:val="000000"/>
          <w:sz w:val="24"/>
          <w:szCs w:val="24"/>
          <w:lang w:val="fr-FR"/>
        </w:rPr>
        <w:t>)</w:t>
      </w:r>
      <w:r w:rsidR="00AD4591" w:rsidRPr="003F7363">
        <w:rPr>
          <w:rFonts w:cs="Arial"/>
          <w:color w:val="000000"/>
          <w:sz w:val="24"/>
          <w:szCs w:val="24"/>
          <w:lang w:val="fr-FR"/>
        </w:rPr>
        <w:t>;</w:t>
      </w:r>
    </w:p>
    <w:p w:rsidR="004B06E8" w:rsidRPr="003F7363" w:rsidRDefault="003F7363" w:rsidP="00B54B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  <w:lang w:val="fr-FR"/>
        </w:rPr>
      </w:pPr>
      <w:r w:rsidRPr="003F7363">
        <w:rPr>
          <w:rFonts w:cs="Arial"/>
          <w:color w:val="000000"/>
          <w:sz w:val="24"/>
          <w:szCs w:val="24"/>
          <w:lang w:val="fr-FR"/>
        </w:rPr>
        <w:t>courant à base d’énergie nucléaire</w:t>
      </w:r>
      <w:r w:rsidR="006B1026" w:rsidRPr="003F7363">
        <w:rPr>
          <w:rFonts w:cs="Arial"/>
          <w:color w:val="000000"/>
          <w:sz w:val="24"/>
          <w:szCs w:val="24"/>
          <w:lang w:val="fr-FR"/>
        </w:rPr>
        <w:t>.</w:t>
      </w:r>
    </w:p>
    <w:p w:rsidR="004B06E8" w:rsidRPr="00D52D0A" w:rsidRDefault="004B06E8" w:rsidP="00B54BD7">
      <w:pPr>
        <w:pStyle w:val="Default"/>
        <w:spacing w:line="276" w:lineRule="auto"/>
        <w:rPr>
          <w:rFonts w:asciiTheme="minorHAnsi" w:hAnsiTheme="minorHAnsi"/>
          <w:b/>
          <w:bCs/>
          <w:lang w:val="fr-FR"/>
        </w:rPr>
      </w:pPr>
    </w:p>
    <w:p w:rsidR="004B06E8" w:rsidRPr="00D52D0A" w:rsidRDefault="004B06E8" w:rsidP="00B54BD7">
      <w:pPr>
        <w:pStyle w:val="Default"/>
        <w:spacing w:line="276" w:lineRule="auto"/>
        <w:rPr>
          <w:rFonts w:asciiTheme="minorHAnsi" w:hAnsiTheme="minorHAnsi"/>
          <w:b/>
          <w:bCs/>
          <w:lang w:val="fr-FR"/>
        </w:rPr>
      </w:pPr>
    </w:p>
    <w:p w:rsidR="00367D45" w:rsidRPr="00F66A36" w:rsidRDefault="003F7363" w:rsidP="00B54BD7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8"/>
          <w:szCs w:val="28"/>
          <w:lang w:val="fr-FR"/>
        </w:rPr>
      </w:pPr>
      <w:r w:rsidRPr="00F66A36">
        <w:rPr>
          <w:rFonts w:asciiTheme="minorHAnsi" w:hAnsiTheme="minorHAnsi"/>
          <w:b/>
          <w:bCs/>
          <w:sz w:val="28"/>
          <w:szCs w:val="28"/>
          <w:lang w:val="fr-FR"/>
        </w:rPr>
        <w:t>La structure d’âge des installations de production</w:t>
      </w:r>
    </w:p>
    <w:p w:rsidR="00367D45" w:rsidRPr="00F66A36" w:rsidRDefault="00801193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  <w:r w:rsidRPr="00F66A36">
        <w:rPr>
          <w:rFonts w:asciiTheme="minorHAnsi" w:hAnsiTheme="minorHAnsi"/>
          <w:lang w:val="fr-FR"/>
        </w:rPr>
        <w:t>En Europe, une grande partie de l’électricité à base d’énergies renouvelables est produite dans les centrales électriques, qui existent depuis bon nombre d’années</w:t>
      </w:r>
      <w:r w:rsidR="00F66A36" w:rsidRPr="00F66A36">
        <w:rPr>
          <w:rFonts w:asciiTheme="minorHAnsi" w:hAnsiTheme="minorHAnsi"/>
          <w:lang w:val="fr-FR"/>
        </w:rPr>
        <w:t xml:space="preserve"> et dont le coût est complètement amorti.</w:t>
      </w:r>
      <w:r w:rsidR="001464FA" w:rsidRPr="00F66A36">
        <w:rPr>
          <w:rFonts w:asciiTheme="minorHAnsi" w:hAnsiTheme="minorHAnsi"/>
          <w:lang w:val="fr-FR"/>
        </w:rPr>
        <w:t xml:space="preserve"> </w:t>
      </w:r>
      <w:r w:rsidR="00F66A36" w:rsidRPr="00F66A36">
        <w:rPr>
          <w:rFonts w:asciiTheme="minorHAnsi" w:hAnsiTheme="minorHAnsi"/>
          <w:lang w:val="fr-FR"/>
        </w:rPr>
        <w:t xml:space="preserve">Dans le but d’inciter à la construction de nouvelles </w:t>
      </w:r>
      <w:r w:rsidR="00501C8B">
        <w:rPr>
          <w:rFonts w:asciiTheme="minorHAnsi" w:hAnsiTheme="minorHAnsi"/>
          <w:lang w:val="fr-FR"/>
        </w:rPr>
        <w:t>installations de production de « courant vert »</w:t>
      </w:r>
      <w:r w:rsidR="00F66A36" w:rsidRPr="00F66A36">
        <w:rPr>
          <w:rFonts w:asciiTheme="minorHAnsi" w:hAnsiTheme="minorHAnsi"/>
          <w:lang w:val="fr-FR"/>
        </w:rPr>
        <w:t>, les règles suivant</w:t>
      </w:r>
      <w:r w:rsidR="00C402A3">
        <w:rPr>
          <w:rFonts w:asciiTheme="minorHAnsi" w:hAnsiTheme="minorHAnsi"/>
          <w:lang w:val="fr-FR"/>
        </w:rPr>
        <w:t>e</w:t>
      </w:r>
      <w:r w:rsidR="00F66A36" w:rsidRPr="00F66A36">
        <w:rPr>
          <w:rFonts w:asciiTheme="minorHAnsi" w:hAnsiTheme="minorHAnsi"/>
          <w:lang w:val="fr-FR"/>
        </w:rPr>
        <w:t>s sont instauré</w:t>
      </w:r>
      <w:r w:rsidR="00C402A3">
        <w:rPr>
          <w:rFonts w:asciiTheme="minorHAnsi" w:hAnsiTheme="minorHAnsi"/>
          <w:lang w:val="fr-FR"/>
        </w:rPr>
        <w:t>e</w:t>
      </w:r>
      <w:r w:rsidR="00F66A36" w:rsidRPr="00F66A36">
        <w:rPr>
          <w:rFonts w:asciiTheme="minorHAnsi" w:hAnsiTheme="minorHAnsi"/>
          <w:lang w:val="fr-FR"/>
        </w:rPr>
        <w:t xml:space="preserve">s: </w:t>
      </w:r>
      <w:r w:rsidR="00367D45" w:rsidRPr="00F66A36">
        <w:rPr>
          <w:rFonts w:asciiTheme="minorHAnsi" w:hAnsiTheme="minorHAnsi"/>
          <w:lang w:val="fr-FR"/>
        </w:rPr>
        <w:t xml:space="preserve"> </w:t>
      </w:r>
    </w:p>
    <w:p w:rsidR="001464FA" w:rsidRPr="00D52D0A" w:rsidRDefault="001464FA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</w:p>
    <w:p w:rsidR="00237E32" w:rsidRPr="00FF0D4F" w:rsidRDefault="00F66A36" w:rsidP="00855AC1">
      <w:pPr>
        <w:pStyle w:val="Default"/>
        <w:numPr>
          <w:ilvl w:val="0"/>
          <w:numId w:val="6"/>
        </w:numPr>
        <w:spacing w:after="154" w:line="276" w:lineRule="auto"/>
        <w:jc w:val="both"/>
        <w:rPr>
          <w:rFonts w:asciiTheme="minorHAnsi" w:hAnsiTheme="minorHAnsi"/>
          <w:lang w:val="fr-FR"/>
        </w:rPr>
      </w:pPr>
      <w:r w:rsidRPr="00FF0D4F">
        <w:rPr>
          <w:rFonts w:asciiTheme="minorHAnsi" w:hAnsiTheme="minorHAnsi"/>
          <w:lang w:val="fr-FR"/>
        </w:rPr>
        <w:t xml:space="preserve">Par année civile, la part de l’électricité </w:t>
      </w:r>
      <w:r w:rsidR="004F25E2" w:rsidRPr="00FF0D4F">
        <w:rPr>
          <w:rFonts w:asciiTheme="minorHAnsi" w:hAnsiTheme="minorHAnsi"/>
          <w:lang w:val="fr-FR"/>
        </w:rPr>
        <w:t xml:space="preserve">provenant de nouvelles </w:t>
      </w:r>
      <w:r w:rsidRPr="00FF0D4F">
        <w:rPr>
          <w:rFonts w:asciiTheme="minorHAnsi" w:hAnsiTheme="minorHAnsi"/>
          <w:lang w:val="fr-FR"/>
        </w:rPr>
        <w:t xml:space="preserve">installations doit représenter au moins 33% du </w:t>
      </w:r>
      <w:r w:rsidR="004F25E2" w:rsidRPr="00FF0D4F">
        <w:rPr>
          <w:rFonts w:asciiTheme="minorHAnsi" w:hAnsiTheme="minorHAnsi"/>
          <w:lang w:val="fr-FR"/>
        </w:rPr>
        <w:t>portefeuille d’approvisionnement</w:t>
      </w:r>
      <w:r w:rsidRPr="00FF0D4F">
        <w:rPr>
          <w:rFonts w:asciiTheme="minorHAnsi" w:hAnsiTheme="minorHAnsi"/>
          <w:lang w:val="fr-FR"/>
        </w:rPr>
        <w:t xml:space="preserve"> d’un produit. </w:t>
      </w:r>
      <w:r w:rsidR="004F25E2" w:rsidRPr="00FF0D4F">
        <w:rPr>
          <w:rFonts w:asciiTheme="minorHAnsi" w:hAnsiTheme="minorHAnsi"/>
          <w:lang w:val="fr-FR"/>
        </w:rPr>
        <w:t xml:space="preserve">Sont </w:t>
      </w:r>
      <w:r w:rsidR="00501C8B">
        <w:rPr>
          <w:rFonts w:asciiTheme="minorHAnsi" w:hAnsiTheme="minorHAnsi"/>
          <w:lang w:val="fr-FR"/>
        </w:rPr>
        <w:t>généralement considérées comme « nouvelles installations »</w:t>
      </w:r>
      <w:r w:rsidR="004F25E2" w:rsidRPr="00FF0D4F">
        <w:rPr>
          <w:rFonts w:asciiTheme="minorHAnsi" w:hAnsiTheme="minorHAnsi"/>
          <w:lang w:val="fr-FR"/>
        </w:rPr>
        <w:t xml:space="preserve"> </w:t>
      </w:r>
      <w:r w:rsidR="00FF0D4F" w:rsidRPr="00FF0D4F">
        <w:rPr>
          <w:rFonts w:asciiTheme="minorHAnsi" w:hAnsiTheme="minorHAnsi"/>
          <w:lang w:val="fr-FR"/>
        </w:rPr>
        <w:t xml:space="preserve">les installations </w:t>
      </w:r>
      <w:r w:rsidR="004F25E2" w:rsidRPr="00FF0D4F">
        <w:rPr>
          <w:rFonts w:asciiTheme="minorHAnsi" w:hAnsiTheme="minorHAnsi"/>
          <w:lang w:val="fr-FR"/>
        </w:rPr>
        <w:t xml:space="preserve"> </w:t>
      </w:r>
      <w:r w:rsidR="004F25E2" w:rsidRPr="00FF0D4F">
        <w:rPr>
          <w:rFonts w:asciiTheme="minorHAnsi" w:hAnsiTheme="minorHAnsi"/>
          <w:lang w:val="fr-FR"/>
        </w:rPr>
        <w:lastRenderedPageBreak/>
        <w:t xml:space="preserve">dont le début d’exploitation ou </w:t>
      </w:r>
      <w:r w:rsidR="00FF0D4F" w:rsidRPr="00FF0D4F">
        <w:rPr>
          <w:rFonts w:asciiTheme="minorHAnsi" w:hAnsiTheme="minorHAnsi"/>
          <w:lang w:val="fr-FR"/>
        </w:rPr>
        <w:t xml:space="preserve">encore dont </w:t>
      </w:r>
      <w:r w:rsidR="00C402A3">
        <w:rPr>
          <w:rFonts w:asciiTheme="minorHAnsi" w:hAnsiTheme="minorHAnsi"/>
          <w:lang w:val="fr-FR"/>
        </w:rPr>
        <w:t xml:space="preserve">d’importants nouveaux </w:t>
      </w:r>
      <w:r w:rsidR="004F25E2" w:rsidRPr="00FF0D4F">
        <w:rPr>
          <w:rFonts w:asciiTheme="minorHAnsi" w:hAnsiTheme="minorHAnsi"/>
          <w:lang w:val="fr-FR"/>
        </w:rPr>
        <w:t>investissements (assainissement, augmentation de la puissance par l’amélioration des</w:t>
      </w:r>
      <w:r w:rsidR="00CF3191" w:rsidRPr="00FF0D4F">
        <w:rPr>
          <w:rFonts w:asciiTheme="minorHAnsi" w:hAnsiTheme="minorHAnsi"/>
          <w:lang w:val="fr-FR"/>
        </w:rPr>
        <w:t xml:space="preserve"> performances des</w:t>
      </w:r>
      <w:r w:rsidR="00FF0D4F" w:rsidRPr="00FF0D4F">
        <w:rPr>
          <w:rFonts w:asciiTheme="minorHAnsi" w:hAnsiTheme="minorHAnsi"/>
          <w:lang w:val="fr-FR"/>
        </w:rPr>
        <w:t xml:space="preserve"> turbines etc.) </w:t>
      </w:r>
      <w:r w:rsidR="00CF3191" w:rsidRPr="00FF0D4F">
        <w:rPr>
          <w:rFonts w:asciiTheme="minorHAnsi" w:hAnsiTheme="minorHAnsi"/>
          <w:lang w:val="fr-FR"/>
        </w:rPr>
        <w:t xml:space="preserve">ne sont pas antérieurs aux 6 ans précédant le début de l’année civile au cours de laquelle </w:t>
      </w:r>
      <w:r w:rsidR="00FF0D4F" w:rsidRPr="00FF0D4F">
        <w:rPr>
          <w:rFonts w:asciiTheme="minorHAnsi" w:hAnsiTheme="minorHAnsi"/>
          <w:lang w:val="fr-FR"/>
        </w:rPr>
        <w:t>la vente de</w:t>
      </w:r>
      <w:r w:rsidR="00CF3191" w:rsidRPr="00FF0D4F">
        <w:rPr>
          <w:rFonts w:asciiTheme="minorHAnsi" w:hAnsiTheme="minorHAnsi"/>
          <w:lang w:val="fr-FR"/>
        </w:rPr>
        <w:t xml:space="preserve"> courant </w:t>
      </w:r>
      <w:r w:rsidR="00FF0D4F" w:rsidRPr="00FF0D4F">
        <w:rPr>
          <w:rFonts w:asciiTheme="minorHAnsi" w:hAnsiTheme="minorHAnsi"/>
          <w:lang w:val="fr-FR"/>
        </w:rPr>
        <w:t>a lieu</w:t>
      </w:r>
      <w:r w:rsidR="00CF3191" w:rsidRPr="00FF0D4F">
        <w:rPr>
          <w:rFonts w:asciiTheme="minorHAnsi" w:hAnsiTheme="minorHAnsi"/>
          <w:lang w:val="fr-FR"/>
        </w:rPr>
        <w:t xml:space="preserve">. </w:t>
      </w:r>
      <w:r w:rsidR="004F25E2" w:rsidRPr="00FF0D4F">
        <w:rPr>
          <w:rFonts w:asciiTheme="minorHAnsi" w:hAnsiTheme="minorHAnsi"/>
          <w:lang w:val="fr-FR"/>
        </w:rPr>
        <w:t xml:space="preserve"> </w:t>
      </w:r>
    </w:p>
    <w:p w:rsidR="00367D45" w:rsidRPr="00D52D0A" w:rsidRDefault="00FF0D4F" w:rsidP="00855AC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lang w:val="fr-FR"/>
        </w:rPr>
      </w:pPr>
      <w:r w:rsidRPr="00CF5E8E">
        <w:rPr>
          <w:rFonts w:asciiTheme="minorHAnsi" w:hAnsiTheme="minorHAnsi"/>
          <w:lang w:val="fr-FR"/>
        </w:rPr>
        <w:t xml:space="preserve">Au-delà, par année civile, au moins 33% additionnels du portefeuille d’approvisionnement </w:t>
      </w:r>
      <w:r w:rsidR="00CF5E8E" w:rsidRPr="00CF5E8E">
        <w:rPr>
          <w:rFonts w:asciiTheme="minorHAnsi" w:hAnsiTheme="minorHAnsi"/>
          <w:lang w:val="fr-FR"/>
        </w:rPr>
        <w:t xml:space="preserve">de ces produits </w:t>
      </w:r>
      <w:r w:rsidRPr="00CF5E8E">
        <w:rPr>
          <w:rFonts w:asciiTheme="minorHAnsi" w:hAnsiTheme="minorHAnsi"/>
          <w:lang w:val="fr-FR"/>
        </w:rPr>
        <w:t xml:space="preserve">doivent provenir </w:t>
      </w:r>
      <w:r w:rsidR="00CF5E8E" w:rsidRPr="00CF5E8E">
        <w:rPr>
          <w:rFonts w:asciiTheme="minorHAnsi" w:hAnsiTheme="minorHAnsi"/>
          <w:lang w:val="fr-FR"/>
        </w:rPr>
        <w:t xml:space="preserve">d’une </w:t>
      </w:r>
      <w:r w:rsidRPr="00CF5E8E">
        <w:rPr>
          <w:rFonts w:asciiTheme="minorHAnsi" w:hAnsiTheme="minorHAnsi"/>
          <w:lang w:val="fr-FR"/>
        </w:rPr>
        <w:t xml:space="preserve">électricité </w:t>
      </w:r>
      <w:r w:rsidR="00CF5E8E" w:rsidRPr="00CF5E8E">
        <w:rPr>
          <w:rFonts w:asciiTheme="minorHAnsi" w:hAnsiTheme="minorHAnsi"/>
          <w:lang w:val="fr-FR"/>
        </w:rPr>
        <w:t xml:space="preserve">produite dans </w:t>
      </w:r>
      <w:r w:rsidRPr="00CF5E8E">
        <w:rPr>
          <w:rFonts w:asciiTheme="minorHAnsi" w:hAnsiTheme="minorHAnsi"/>
          <w:lang w:val="fr-FR"/>
        </w:rPr>
        <w:t>d</w:t>
      </w:r>
      <w:r w:rsidR="00CF5E8E" w:rsidRPr="00CF5E8E">
        <w:rPr>
          <w:rFonts w:asciiTheme="minorHAnsi" w:hAnsiTheme="minorHAnsi"/>
          <w:lang w:val="fr-FR"/>
        </w:rPr>
        <w:t xml:space="preserve">es </w:t>
      </w:r>
      <w:r w:rsidR="00501C8B">
        <w:rPr>
          <w:rFonts w:asciiTheme="minorHAnsi" w:hAnsiTheme="minorHAnsi"/>
          <w:lang w:val="fr-FR"/>
        </w:rPr>
        <w:t>« </w:t>
      </w:r>
      <w:r w:rsidRPr="00CF5E8E">
        <w:rPr>
          <w:rFonts w:asciiTheme="minorHAnsi" w:hAnsiTheme="minorHAnsi"/>
          <w:lang w:val="fr-FR"/>
        </w:rPr>
        <w:t xml:space="preserve">installations existantes plus </w:t>
      </w:r>
      <w:r w:rsidR="00CF5E8E" w:rsidRPr="00CF5E8E">
        <w:rPr>
          <w:rFonts w:asciiTheme="minorHAnsi" w:hAnsiTheme="minorHAnsi"/>
          <w:lang w:val="fr-FR"/>
        </w:rPr>
        <w:t>récentes</w:t>
      </w:r>
      <w:r w:rsidR="00501C8B">
        <w:rPr>
          <w:rFonts w:asciiTheme="minorHAnsi" w:hAnsiTheme="minorHAnsi"/>
          <w:lang w:val="fr-FR"/>
        </w:rPr>
        <w:t> »</w:t>
      </w:r>
      <w:r w:rsidRPr="00CF5E8E">
        <w:rPr>
          <w:rFonts w:asciiTheme="minorHAnsi" w:hAnsiTheme="minorHAnsi"/>
          <w:lang w:val="fr-FR"/>
        </w:rPr>
        <w:t xml:space="preserve">. </w:t>
      </w:r>
      <w:r w:rsidR="00237E32" w:rsidRPr="00CF5E8E">
        <w:rPr>
          <w:rFonts w:asciiTheme="minorHAnsi" w:hAnsiTheme="minorHAnsi"/>
          <w:lang w:val="fr-FR"/>
        </w:rPr>
        <w:t>(</w:t>
      </w:r>
      <w:r w:rsidR="00CF5E8E" w:rsidRPr="00CF5E8E">
        <w:rPr>
          <w:rFonts w:asciiTheme="minorHAnsi" w:hAnsiTheme="minorHAnsi"/>
          <w:lang w:val="fr-FR"/>
        </w:rPr>
        <w:t>Si la part du courant provenant des installations nouvelles est plus importante que 33%, cette exigence est réduite en conséquence).</w:t>
      </w:r>
      <w:r w:rsidR="00CF5E8E" w:rsidRPr="00D52D0A">
        <w:rPr>
          <w:rFonts w:asciiTheme="minorHAnsi" w:hAnsiTheme="minorHAnsi"/>
          <w:lang w:val="fr-FR"/>
        </w:rPr>
        <w:t xml:space="preserve"> </w:t>
      </w:r>
      <w:r w:rsidR="00CF5E8E" w:rsidRPr="004315EC">
        <w:rPr>
          <w:rFonts w:asciiTheme="minorHAnsi" w:hAnsiTheme="minorHAnsi"/>
          <w:lang w:val="fr-FR"/>
        </w:rPr>
        <w:t xml:space="preserve">Sont </w:t>
      </w:r>
      <w:r w:rsidR="00501C8B">
        <w:rPr>
          <w:rFonts w:asciiTheme="minorHAnsi" w:hAnsiTheme="minorHAnsi"/>
          <w:lang w:val="fr-FR"/>
        </w:rPr>
        <w:t>généralement considérées comme « </w:t>
      </w:r>
      <w:r w:rsidR="00CF5E8E" w:rsidRPr="004315EC">
        <w:rPr>
          <w:rFonts w:asciiTheme="minorHAnsi" w:hAnsiTheme="minorHAnsi"/>
          <w:lang w:val="fr-FR"/>
        </w:rPr>
        <w:t>install</w:t>
      </w:r>
      <w:r w:rsidR="00501C8B">
        <w:rPr>
          <w:rFonts w:asciiTheme="minorHAnsi" w:hAnsiTheme="minorHAnsi"/>
          <w:lang w:val="fr-FR"/>
        </w:rPr>
        <w:t>ations existantes plus récentes »</w:t>
      </w:r>
      <w:r w:rsidR="00CF5E8E" w:rsidRPr="004315EC">
        <w:rPr>
          <w:rFonts w:asciiTheme="minorHAnsi" w:hAnsiTheme="minorHAnsi"/>
          <w:lang w:val="fr-FR"/>
        </w:rPr>
        <w:t xml:space="preserve"> les installations qui sont exploitées depuis au moins 6 ans, sans pour autant dépasser 12 ans précédant le début de l’année civile au</w:t>
      </w:r>
      <w:r w:rsidR="004315EC" w:rsidRPr="004315EC">
        <w:rPr>
          <w:rFonts w:asciiTheme="minorHAnsi" w:hAnsiTheme="minorHAnsi"/>
          <w:lang w:val="fr-FR"/>
        </w:rPr>
        <w:t xml:space="preserve"> cours de laquelle la vente de courant a lieu.</w:t>
      </w:r>
      <w:r w:rsidR="00367D45" w:rsidRPr="00D52D0A">
        <w:rPr>
          <w:rFonts w:asciiTheme="minorHAnsi" w:hAnsiTheme="minorHAnsi"/>
          <w:lang w:val="fr-FR"/>
        </w:rPr>
        <w:t xml:space="preserve"> </w:t>
      </w:r>
    </w:p>
    <w:p w:rsidR="00501C8B" w:rsidRDefault="00501C8B" w:rsidP="00CB720E">
      <w:pPr>
        <w:spacing w:line="276" w:lineRule="auto"/>
        <w:jc w:val="both"/>
        <w:rPr>
          <w:sz w:val="24"/>
          <w:szCs w:val="24"/>
          <w:lang w:val="fr-FR"/>
        </w:rPr>
      </w:pPr>
    </w:p>
    <w:p w:rsidR="00367D45" w:rsidRPr="009415F7" w:rsidRDefault="004315EC" w:rsidP="00CB720E">
      <w:pPr>
        <w:spacing w:line="276" w:lineRule="auto"/>
        <w:jc w:val="both"/>
        <w:rPr>
          <w:sz w:val="24"/>
          <w:szCs w:val="24"/>
          <w:lang w:val="fr-FR"/>
        </w:rPr>
      </w:pPr>
      <w:r w:rsidRPr="009415F7">
        <w:rPr>
          <w:sz w:val="24"/>
          <w:szCs w:val="24"/>
          <w:lang w:val="fr-FR"/>
        </w:rPr>
        <w:t>L’objectif de ce</w:t>
      </w:r>
      <w:r w:rsidR="00C402A3">
        <w:rPr>
          <w:sz w:val="24"/>
          <w:szCs w:val="24"/>
          <w:lang w:val="fr-FR"/>
        </w:rPr>
        <w:t>s</w:t>
      </w:r>
      <w:r w:rsidRPr="009415F7">
        <w:rPr>
          <w:sz w:val="24"/>
          <w:szCs w:val="24"/>
          <w:lang w:val="fr-FR"/>
        </w:rPr>
        <w:t xml:space="preserve"> règle</w:t>
      </w:r>
      <w:r w:rsidR="00C402A3">
        <w:rPr>
          <w:sz w:val="24"/>
          <w:szCs w:val="24"/>
          <w:lang w:val="fr-FR"/>
        </w:rPr>
        <w:t>s</w:t>
      </w:r>
      <w:r w:rsidRPr="009415F7">
        <w:rPr>
          <w:sz w:val="24"/>
          <w:szCs w:val="24"/>
          <w:lang w:val="fr-FR"/>
        </w:rPr>
        <w:t xml:space="preserve"> est de faire en sorte que tous les 6 ans au plus tard, de nouvelles installations (ou des installations ayant fait l’objet d</w:t>
      </w:r>
      <w:r w:rsidR="00C402A3">
        <w:rPr>
          <w:sz w:val="24"/>
          <w:szCs w:val="24"/>
          <w:lang w:val="fr-FR"/>
        </w:rPr>
        <w:t>’</w:t>
      </w:r>
      <w:r w:rsidRPr="009415F7">
        <w:rPr>
          <w:sz w:val="24"/>
          <w:szCs w:val="24"/>
          <w:lang w:val="fr-FR"/>
        </w:rPr>
        <w:t>investissements considérables) soient mis</w:t>
      </w:r>
      <w:r w:rsidR="00C402A3">
        <w:rPr>
          <w:sz w:val="24"/>
          <w:szCs w:val="24"/>
          <w:lang w:val="fr-FR"/>
        </w:rPr>
        <w:t>es</w:t>
      </w:r>
      <w:r w:rsidRPr="009415F7">
        <w:rPr>
          <w:sz w:val="24"/>
          <w:szCs w:val="24"/>
          <w:lang w:val="fr-FR"/>
        </w:rPr>
        <w:t xml:space="preserve"> sous contrat pour une partie de </w:t>
      </w:r>
      <w:r w:rsidR="00C402A3">
        <w:rPr>
          <w:sz w:val="24"/>
          <w:szCs w:val="24"/>
          <w:lang w:val="fr-FR"/>
        </w:rPr>
        <w:t>la quantité du courant certifié</w:t>
      </w:r>
      <w:r w:rsidRPr="009415F7">
        <w:rPr>
          <w:sz w:val="24"/>
          <w:szCs w:val="24"/>
          <w:lang w:val="fr-FR"/>
        </w:rPr>
        <w:t xml:space="preserve">. En même temps, le règlement incite à garder dans le portefeuille </w:t>
      </w:r>
      <w:r w:rsidR="009415F7" w:rsidRPr="009415F7">
        <w:rPr>
          <w:sz w:val="24"/>
          <w:szCs w:val="24"/>
          <w:lang w:val="fr-FR"/>
        </w:rPr>
        <w:t xml:space="preserve">- </w:t>
      </w:r>
      <w:r w:rsidRPr="009415F7">
        <w:rPr>
          <w:sz w:val="24"/>
          <w:szCs w:val="24"/>
          <w:lang w:val="fr-FR"/>
        </w:rPr>
        <w:t>pour une nouvelle durée de 6 ans</w:t>
      </w:r>
      <w:r w:rsidR="009415F7" w:rsidRPr="009415F7">
        <w:rPr>
          <w:sz w:val="24"/>
          <w:szCs w:val="24"/>
          <w:lang w:val="fr-FR"/>
        </w:rPr>
        <w:t xml:space="preserve"> -</w:t>
      </w:r>
      <w:r w:rsidRPr="009415F7">
        <w:rPr>
          <w:sz w:val="24"/>
          <w:szCs w:val="24"/>
          <w:lang w:val="fr-FR"/>
        </w:rPr>
        <w:t xml:space="preserve"> les installations qui ne sont plus considér</w:t>
      </w:r>
      <w:r w:rsidR="00C402A3">
        <w:rPr>
          <w:sz w:val="24"/>
          <w:szCs w:val="24"/>
          <w:lang w:val="fr-FR"/>
        </w:rPr>
        <w:t>ées comme « nouvelles installations »</w:t>
      </w:r>
      <w:r w:rsidR="009415F7" w:rsidRPr="009415F7">
        <w:rPr>
          <w:sz w:val="24"/>
          <w:szCs w:val="24"/>
          <w:lang w:val="fr-FR"/>
        </w:rPr>
        <w:t>. De cette façon, l’amortissement des investissements est facilité.</w:t>
      </w:r>
    </w:p>
    <w:p w:rsidR="00367D45" w:rsidRPr="001B52D8" w:rsidRDefault="00367D45" w:rsidP="00B54BD7">
      <w:pPr>
        <w:spacing w:line="276" w:lineRule="auto"/>
        <w:rPr>
          <w:sz w:val="24"/>
          <w:szCs w:val="24"/>
          <w:lang w:val="de-DE"/>
        </w:rPr>
      </w:pPr>
    </w:p>
    <w:p w:rsidR="00367D45" w:rsidRPr="00411BB9" w:rsidRDefault="00511166" w:rsidP="00B54BD7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8"/>
          <w:szCs w:val="28"/>
          <w:lang w:val="fr-FR"/>
        </w:rPr>
      </w:pPr>
      <w:r w:rsidRPr="00411BB9">
        <w:rPr>
          <w:rFonts w:asciiTheme="minorHAnsi" w:hAnsiTheme="minorHAnsi"/>
          <w:b/>
          <w:bCs/>
          <w:sz w:val="28"/>
          <w:szCs w:val="28"/>
          <w:lang w:val="fr-FR"/>
        </w:rPr>
        <w:t xml:space="preserve">Exclusion des financements publics </w:t>
      </w:r>
      <w:r w:rsidR="00367D45" w:rsidRPr="00411BB9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</w:p>
    <w:p w:rsidR="00367D45" w:rsidRPr="00D52D0A" w:rsidRDefault="00FD06DE" w:rsidP="00087A9E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411BB9">
        <w:rPr>
          <w:rFonts w:asciiTheme="minorHAnsi" w:hAnsiTheme="minorHAnsi"/>
          <w:lang w:val="fr-FR"/>
        </w:rPr>
        <w:t xml:space="preserve">Sont considérées comme </w:t>
      </w:r>
      <w:r w:rsidR="00C402A3">
        <w:rPr>
          <w:rFonts w:asciiTheme="minorHAnsi" w:hAnsiTheme="minorHAnsi"/>
          <w:lang w:val="fr-FR"/>
        </w:rPr>
        <w:t>« subventionnées »</w:t>
      </w:r>
      <w:r w:rsidR="003F7089" w:rsidRPr="00411BB9">
        <w:rPr>
          <w:rFonts w:asciiTheme="minorHAnsi" w:hAnsiTheme="minorHAnsi"/>
          <w:lang w:val="fr-FR"/>
        </w:rPr>
        <w:t xml:space="preserve"> au moyen de deniers publics toutes les unités de production pour lesquelles, conformément aux dispositions du système de subventionnement public respectif en place, le</w:t>
      </w:r>
      <w:r w:rsidR="00411BB9" w:rsidRPr="00411BB9">
        <w:rPr>
          <w:rFonts w:asciiTheme="minorHAnsi" w:hAnsiTheme="minorHAnsi"/>
          <w:lang w:val="fr-FR"/>
        </w:rPr>
        <w:t>s</w:t>
      </w:r>
      <w:r w:rsidR="003F7089" w:rsidRPr="00411BB9">
        <w:rPr>
          <w:rFonts w:asciiTheme="minorHAnsi" w:hAnsiTheme="minorHAnsi"/>
          <w:lang w:val="fr-FR"/>
        </w:rPr>
        <w:t xml:space="preserve"> droit</w:t>
      </w:r>
      <w:r w:rsidR="00411BB9" w:rsidRPr="00411BB9">
        <w:rPr>
          <w:rFonts w:asciiTheme="minorHAnsi" w:hAnsiTheme="minorHAnsi"/>
          <w:lang w:val="fr-FR"/>
        </w:rPr>
        <w:t>s</w:t>
      </w:r>
      <w:r w:rsidR="003F7089" w:rsidRPr="00411BB9">
        <w:rPr>
          <w:rFonts w:asciiTheme="minorHAnsi" w:hAnsiTheme="minorHAnsi"/>
          <w:lang w:val="fr-FR"/>
        </w:rPr>
        <w:t xml:space="preserve"> à l’achat et au payement </w:t>
      </w:r>
      <w:r w:rsidR="00411BB9" w:rsidRPr="00411BB9">
        <w:rPr>
          <w:rFonts w:asciiTheme="minorHAnsi" w:hAnsiTheme="minorHAnsi"/>
          <w:lang w:val="fr-FR"/>
        </w:rPr>
        <w:t xml:space="preserve">garantis </w:t>
      </w:r>
      <w:r w:rsidR="003F7089" w:rsidRPr="00411BB9">
        <w:rPr>
          <w:rFonts w:asciiTheme="minorHAnsi" w:hAnsiTheme="minorHAnsi"/>
          <w:lang w:val="fr-FR"/>
        </w:rPr>
        <w:t xml:space="preserve">de leur production d’électricité </w:t>
      </w:r>
      <w:r w:rsidR="00411BB9" w:rsidRPr="00411BB9">
        <w:rPr>
          <w:rFonts w:asciiTheme="minorHAnsi" w:hAnsiTheme="minorHAnsi"/>
          <w:lang w:val="fr-FR"/>
        </w:rPr>
        <w:t>ont</w:t>
      </w:r>
      <w:r w:rsidR="003F7089" w:rsidRPr="00411BB9">
        <w:rPr>
          <w:rFonts w:asciiTheme="minorHAnsi" w:hAnsiTheme="minorHAnsi"/>
          <w:lang w:val="fr-FR"/>
        </w:rPr>
        <w:t xml:space="preserve"> été fait</w:t>
      </w:r>
      <w:r w:rsidR="00411BB9" w:rsidRPr="00411BB9">
        <w:rPr>
          <w:rFonts w:asciiTheme="minorHAnsi" w:hAnsiTheme="minorHAnsi"/>
          <w:lang w:val="fr-FR"/>
        </w:rPr>
        <w:t>s</w:t>
      </w:r>
      <w:r w:rsidR="003F7089" w:rsidRPr="00411BB9">
        <w:rPr>
          <w:rFonts w:asciiTheme="minorHAnsi" w:hAnsiTheme="minorHAnsi"/>
          <w:lang w:val="fr-FR"/>
        </w:rPr>
        <w:t xml:space="preserve"> valoir.</w:t>
      </w:r>
      <w:r w:rsidR="003F7089" w:rsidRPr="00D52D0A">
        <w:rPr>
          <w:rFonts w:asciiTheme="minorHAnsi" w:hAnsiTheme="minorHAnsi"/>
          <w:lang w:val="fr-FR"/>
        </w:rPr>
        <w:t xml:space="preserve"> </w:t>
      </w:r>
    </w:p>
    <w:p w:rsidR="00237E32" w:rsidRPr="00E25305" w:rsidRDefault="00237E32" w:rsidP="00087A9E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</w:p>
    <w:p w:rsidR="00367D45" w:rsidRPr="00E25305" w:rsidRDefault="00411BB9" w:rsidP="00087A9E">
      <w:pPr>
        <w:spacing w:line="276" w:lineRule="auto"/>
        <w:jc w:val="both"/>
        <w:rPr>
          <w:sz w:val="24"/>
          <w:szCs w:val="24"/>
          <w:lang w:val="fr-FR"/>
        </w:rPr>
      </w:pPr>
      <w:r w:rsidRPr="00E25305">
        <w:rPr>
          <w:sz w:val="24"/>
          <w:szCs w:val="24"/>
          <w:lang w:val="fr-FR"/>
        </w:rPr>
        <w:t>La production d’électricité à base de sources d’énergies renouvelables</w:t>
      </w:r>
      <w:r w:rsidR="00E25305" w:rsidRPr="00E25305">
        <w:rPr>
          <w:sz w:val="24"/>
          <w:szCs w:val="24"/>
          <w:lang w:val="fr-FR"/>
        </w:rPr>
        <w:t>,</w:t>
      </w:r>
      <w:r w:rsidRPr="00E25305">
        <w:rPr>
          <w:sz w:val="24"/>
          <w:szCs w:val="24"/>
          <w:lang w:val="fr-FR"/>
        </w:rPr>
        <w:t xml:space="preserve"> qui a profité d’un tel financement public, ne peut être contenue que proportionnellement dans le mix </w:t>
      </w:r>
      <w:r w:rsidR="00E25305" w:rsidRPr="00E25305">
        <w:rPr>
          <w:sz w:val="24"/>
          <w:szCs w:val="24"/>
          <w:lang w:val="fr-FR"/>
        </w:rPr>
        <w:t>électrique</w:t>
      </w:r>
      <w:r w:rsidRPr="00E25305">
        <w:rPr>
          <w:sz w:val="24"/>
          <w:szCs w:val="24"/>
          <w:lang w:val="fr-FR"/>
        </w:rPr>
        <w:t xml:space="preserve"> conformément aux obligations nationales.</w:t>
      </w:r>
      <w:r w:rsidR="00DB78E6" w:rsidRPr="00E25305">
        <w:rPr>
          <w:sz w:val="24"/>
          <w:szCs w:val="24"/>
          <w:lang w:val="fr-FR"/>
        </w:rPr>
        <w:t xml:space="preserve"> </w:t>
      </w:r>
    </w:p>
    <w:p w:rsidR="004B06E8" w:rsidRPr="00D52D0A" w:rsidRDefault="004B06E8" w:rsidP="00B54BD7">
      <w:pPr>
        <w:pStyle w:val="Default"/>
        <w:spacing w:line="276" w:lineRule="auto"/>
        <w:rPr>
          <w:rFonts w:asciiTheme="minorHAnsi" w:hAnsiTheme="minorHAnsi"/>
          <w:b/>
          <w:bCs/>
          <w:lang w:val="fr-FR"/>
        </w:rPr>
      </w:pPr>
    </w:p>
    <w:p w:rsidR="004A75F2" w:rsidRPr="007766D0" w:rsidRDefault="00BF5112" w:rsidP="00B54BD7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8"/>
          <w:szCs w:val="28"/>
          <w:lang w:val="fr-FR"/>
        </w:rPr>
      </w:pPr>
      <w:r w:rsidRPr="007766D0">
        <w:rPr>
          <w:rFonts w:asciiTheme="minorHAnsi" w:hAnsiTheme="minorHAnsi"/>
          <w:b/>
          <w:bCs/>
          <w:sz w:val="28"/>
          <w:szCs w:val="28"/>
          <w:lang w:val="fr-FR"/>
        </w:rPr>
        <w:t xml:space="preserve">Rapports de participation </w:t>
      </w:r>
      <w:r w:rsidR="001F35A0">
        <w:rPr>
          <w:rFonts w:asciiTheme="minorHAnsi" w:hAnsiTheme="minorHAnsi"/>
          <w:b/>
          <w:bCs/>
          <w:sz w:val="28"/>
          <w:szCs w:val="28"/>
          <w:lang w:val="fr-FR"/>
        </w:rPr>
        <w:t>entre</w:t>
      </w:r>
      <w:r w:rsidR="00681438">
        <w:rPr>
          <w:rFonts w:asciiTheme="minorHAnsi" w:hAnsiTheme="minorHAnsi"/>
          <w:b/>
          <w:bCs/>
          <w:sz w:val="28"/>
          <w:szCs w:val="28"/>
          <w:lang w:val="fr-FR"/>
        </w:rPr>
        <w:t xml:space="preserve"> producteurs-</w:t>
      </w:r>
      <w:r w:rsidRPr="007766D0">
        <w:rPr>
          <w:rFonts w:asciiTheme="minorHAnsi" w:hAnsiTheme="minorHAnsi"/>
          <w:b/>
          <w:bCs/>
          <w:sz w:val="28"/>
          <w:szCs w:val="28"/>
          <w:lang w:val="fr-FR"/>
        </w:rPr>
        <w:t xml:space="preserve">fournisseurs </w:t>
      </w:r>
      <w:r w:rsidR="004A75F2" w:rsidRPr="007766D0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</w:p>
    <w:p w:rsidR="00E50309" w:rsidRDefault="007766D0" w:rsidP="00B54BD7">
      <w:pPr>
        <w:pStyle w:val="Default"/>
        <w:spacing w:line="276" w:lineRule="auto"/>
        <w:rPr>
          <w:rFonts w:asciiTheme="minorHAnsi" w:hAnsiTheme="minorHAnsi"/>
          <w:bCs/>
          <w:lang w:val="fr-FR"/>
        </w:rPr>
      </w:pPr>
      <w:r w:rsidRPr="007766D0">
        <w:rPr>
          <w:rFonts w:asciiTheme="minorHAnsi" w:hAnsiTheme="minorHAnsi"/>
          <w:bCs/>
          <w:lang w:val="fr-FR"/>
        </w:rPr>
        <w:t>Aux yeux de Greenpeace et du Mouvement Ecologique, l</w:t>
      </w:r>
      <w:r w:rsidR="00BF5112" w:rsidRPr="007766D0">
        <w:rPr>
          <w:rFonts w:asciiTheme="minorHAnsi" w:hAnsiTheme="minorHAnsi"/>
          <w:bCs/>
          <w:lang w:val="fr-FR"/>
        </w:rPr>
        <w:t>es producteurs</w:t>
      </w:r>
      <w:r w:rsidR="00C402A3">
        <w:rPr>
          <w:rFonts w:asciiTheme="minorHAnsi" w:hAnsiTheme="minorHAnsi"/>
          <w:bCs/>
          <w:lang w:val="fr-FR"/>
        </w:rPr>
        <w:t xml:space="preserve"> et fournisseurs de produits d’« électricité verte »</w:t>
      </w:r>
      <w:r w:rsidRPr="007766D0">
        <w:rPr>
          <w:rFonts w:asciiTheme="minorHAnsi" w:hAnsiTheme="minorHAnsi"/>
          <w:bCs/>
          <w:lang w:val="fr-FR"/>
        </w:rPr>
        <w:t xml:space="preserve"> ne doivent pas se livrer à une politique commerciale parallèle qui est contraire à la protection du climat ainsi qu’à la transition énergétique qui s’impose.</w:t>
      </w:r>
      <w:r w:rsidR="001464FA" w:rsidRPr="007766D0">
        <w:rPr>
          <w:rFonts w:asciiTheme="minorHAnsi" w:hAnsiTheme="minorHAnsi"/>
          <w:bCs/>
          <w:lang w:val="fr-FR"/>
        </w:rPr>
        <w:t xml:space="preserve"> </w:t>
      </w:r>
      <w:r w:rsidRPr="007766D0">
        <w:rPr>
          <w:rFonts w:asciiTheme="minorHAnsi" w:hAnsiTheme="minorHAnsi"/>
          <w:bCs/>
          <w:lang w:val="fr-FR"/>
        </w:rPr>
        <w:t>C’est la raison pour laquelle les deux organisations exigent la stricte observation de ce qui suit:</w:t>
      </w:r>
    </w:p>
    <w:p w:rsidR="008054A9" w:rsidRDefault="008054A9" w:rsidP="00B54BD7">
      <w:pPr>
        <w:pStyle w:val="Default"/>
        <w:spacing w:line="276" w:lineRule="auto"/>
        <w:rPr>
          <w:rFonts w:asciiTheme="minorHAnsi" w:hAnsiTheme="minorHAnsi"/>
          <w:bCs/>
          <w:lang w:val="fr-FR"/>
        </w:rPr>
      </w:pPr>
    </w:p>
    <w:p w:rsidR="008054A9" w:rsidRPr="001F35A0" w:rsidRDefault="008054A9" w:rsidP="00B54BD7">
      <w:pPr>
        <w:pStyle w:val="Default"/>
        <w:spacing w:line="276" w:lineRule="auto"/>
        <w:rPr>
          <w:rFonts w:asciiTheme="minorHAnsi" w:hAnsiTheme="minorHAnsi"/>
          <w:bCs/>
          <w:lang w:val="fr-FR"/>
        </w:rPr>
      </w:pPr>
    </w:p>
    <w:p w:rsidR="004A75F2" w:rsidRPr="006D5D13" w:rsidRDefault="007766D0" w:rsidP="00087A9E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lang w:val="fr-FR"/>
        </w:rPr>
      </w:pPr>
      <w:r w:rsidRPr="006D5D13">
        <w:rPr>
          <w:rFonts w:asciiTheme="minorHAnsi" w:hAnsiTheme="minorHAnsi"/>
          <w:b/>
          <w:bCs/>
          <w:lang w:val="fr-FR"/>
        </w:rPr>
        <w:lastRenderedPageBreak/>
        <w:t xml:space="preserve">Liens avec les centrales nucléaires et les exploitants </w:t>
      </w:r>
      <w:r w:rsidR="00435154" w:rsidRPr="006D5D13">
        <w:rPr>
          <w:rFonts w:asciiTheme="minorHAnsi" w:hAnsiTheme="minorHAnsi"/>
          <w:b/>
          <w:bCs/>
          <w:lang w:val="fr-FR"/>
        </w:rPr>
        <w:t>nucléaires</w:t>
      </w:r>
      <w:r w:rsidRPr="006D5D13">
        <w:rPr>
          <w:rFonts w:asciiTheme="minorHAnsi" w:hAnsiTheme="minorHAnsi"/>
          <w:b/>
          <w:bCs/>
          <w:lang w:val="fr-FR"/>
        </w:rPr>
        <w:t xml:space="preserve"> </w:t>
      </w:r>
    </w:p>
    <w:p w:rsidR="004A75F2" w:rsidRPr="006D5D13" w:rsidRDefault="00990CC8" w:rsidP="00087A9E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6D5D13">
        <w:rPr>
          <w:rFonts w:asciiTheme="minorHAnsi" w:hAnsiTheme="minorHAnsi"/>
          <w:lang w:val="fr-FR"/>
        </w:rPr>
        <w:t>Le</w:t>
      </w:r>
      <w:r w:rsidR="00C402A3">
        <w:rPr>
          <w:rFonts w:asciiTheme="minorHAnsi" w:hAnsiTheme="minorHAnsi"/>
          <w:lang w:val="fr-FR"/>
        </w:rPr>
        <w:t xml:space="preserve"> fournisseur de produits </w:t>
      </w:r>
      <w:r w:rsidR="00C402A3">
        <w:rPr>
          <w:rFonts w:asciiTheme="minorHAnsi" w:hAnsiTheme="minorHAnsi"/>
          <w:bCs/>
          <w:lang w:val="fr-FR"/>
        </w:rPr>
        <w:t>d’« électricité verte »</w:t>
      </w:r>
      <w:r w:rsidR="00C402A3" w:rsidRPr="007766D0">
        <w:rPr>
          <w:rFonts w:asciiTheme="minorHAnsi" w:hAnsiTheme="minorHAnsi"/>
          <w:bCs/>
          <w:lang w:val="fr-FR"/>
        </w:rPr>
        <w:t xml:space="preserve"> </w:t>
      </w:r>
      <w:r w:rsidR="00435154" w:rsidRPr="006D5D13">
        <w:rPr>
          <w:rFonts w:asciiTheme="minorHAnsi" w:hAnsiTheme="minorHAnsi"/>
          <w:lang w:val="fr-FR"/>
        </w:rPr>
        <w:t xml:space="preserve">ne </w:t>
      </w:r>
      <w:r w:rsidRPr="006D5D13">
        <w:rPr>
          <w:rFonts w:asciiTheme="minorHAnsi" w:hAnsiTheme="minorHAnsi"/>
          <w:lang w:val="fr-FR"/>
        </w:rPr>
        <w:t>doit pas avoir de</w:t>
      </w:r>
      <w:r w:rsidR="00435154" w:rsidRPr="006D5D13">
        <w:rPr>
          <w:rFonts w:asciiTheme="minorHAnsi" w:hAnsiTheme="minorHAnsi"/>
          <w:lang w:val="fr-FR"/>
        </w:rPr>
        <w:t xml:space="preserve"> participation </w:t>
      </w:r>
      <w:r w:rsidRPr="006D5D13">
        <w:rPr>
          <w:rFonts w:asciiTheme="minorHAnsi" w:hAnsiTheme="minorHAnsi"/>
          <w:lang w:val="fr-FR"/>
        </w:rPr>
        <w:t>–</w:t>
      </w:r>
      <w:r w:rsidR="00C402A3">
        <w:rPr>
          <w:rFonts w:asciiTheme="minorHAnsi" w:hAnsiTheme="minorHAnsi"/>
          <w:lang w:val="fr-FR"/>
        </w:rPr>
        <w:t xml:space="preserve"> </w:t>
      </w:r>
      <w:r w:rsidRPr="006D5D13">
        <w:rPr>
          <w:rFonts w:asciiTheme="minorHAnsi" w:hAnsiTheme="minorHAnsi"/>
          <w:lang w:val="fr-FR"/>
        </w:rPr>
        <w:t>directe ou indirecte</w:t>
      </w:r>
      <w:r w:rsidR="00435154" w:rsidRPr="006D5D13">
        <w:rPr>
          <w:rFonts w:asciiTheme="minorHAnsi" w:hAnsiTheme="minorHAnsi"/>
          <w:lang w:val="fr-FR"/>
        </w:rPr>
        <w:t xml:space="preserve"> – dans une centrale nucléaire </w:t>
      </w:r>
      <w:r w:rsidR="00087A9E" w:rsidRPr="006D5D13">
        <w:rPr>
          <w:rFonts w:asciiTheme="minorHAnsi" w:hAnsiTheme="minorHAnsi"/>
          <w:lang w:val="fr-FR"/>
        </w:rPr>
        <w:t>(</w:t>
      </w:r>
      <w:r w:rsidR="00435154" w:rsidRPr="006D5D13">
        <w:rPr>
          <w:rFonts w:asciiTheme="minorHAnsi" w:hAnsiTheme="minorHAnsi"/>
          <w:lang w:val="fr-FR"/>
        </w:rPr>
        <w:t xml:space="preserve">ou dans une autre installation </w:t>
      </w:r>
      <w:r w:rsidR="008C7D4A" w:rsidRPr="006D5D13">
        <w:rPr>
          <w:rFonts w:asciiTheme="minorHAnsi" w:hAnsiTheme="minorHAnsi"/>
          <w:lang w:val="fr-FR"/>
        </w:rPr>
        <w:t>nucléaire, p.ex. ayant une activité liée à l’enrichissement d’uranium).</w:t>
      </w:r>
      <w:r w:rsidR="004A75F2" w:rsidRPr="006D5D13">
        <w:rPr>
          <w:rFonts w:asciiTheme="minorHAnsi" w:hAnsiTheme="minorHAnsi"/>
          <w:lang w:val="fr-FR"/>
        </w:rPr>
        <w:t xml:space="preserve"> </w:t>
      </w:r>
      <w:r w:rsidRPr="006D5D13">
        <w:rPr>
          <w:rFonts w:asciiTheme="minorHAnsi" w:hAnsiTheme="minorHAnsi"/>
          <w:lang w:val="fr-FR"/>
        </w:rPr>
        <w:t>Au cas où le fournisseur appartient indirectement ou directement à un exploitant</w:t>
      </w:r>
      <w:r w:rsidR="006D5D13" w:rsidRPr="006D5D13">
        <w:rPr>
          <w:rFonts w:asciiTheme="minorHAnsi" w:hAnsiTheme="minorHAnsi"/>
          <w:lang w:val="fr-FR"/>
        </w:rPr>
        <w:t xml:space="preserve"> d’une centrale nucléaire (ou d’une autre installation nucléaire), la participation de ce dernier dans l’usine du fournisseur doit être inférieure à 50%.</w:t>
      </w:r>
      <w:r w:rsidR="004A75F2" w:rsidRPr="006D5D13">
        <w:rPr>
          <w:rFonts w:asciiTheme="minorHAnsi" w:hAnsiTheme="minorHAnsi"/>
          <w:lang w:val="fr-FR"/>
        </w:rPr>
        <w:t xml:space="preserve"> </w:t>
      </w:r>
    </w:p>
    <w:p w:rsidR="00087A9E" w:rsidRPr="00D52D0A" w:rsidRDefault="00087A9E" w:rsidP="00C87887">
      <w:pPr>
        <w:pStyle w:val="Default"/>
        <w:spacing w:line="276" w:lineRule="auto"/>
        <w:rPr>
          <w:rFonts w:asciiTheme="minorHAnsi" w:hAnsiTheme="minorHAnsi"/>
          <w:b/>
          <w:bCs/>
          <w:lang w:val="fr-FR"/>
        </w:rPr>
      </w:pPr>
    </w:p>
    <w:p w:rsidR="004A75F2" w:rsidRPr="001F35A0" w:rsidRDefault="006D5D13" w:rsidP="00087A9E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lang w:val="fr-FR"/>
        </w:rPr>
      </w:pPr>
      <w:r w:rsidRPr="001F35A0">
        <w:rPr>
          <w:rFonts w:asciiTheme="minorHAnsi" w:hAnsiTheme="minorHAnsi"/>
          <w:b/>
          <w:bCs/>
          <w:lang w:val="fr-FR"/>
        </w:rPr>
        <w:t xml:space="preserve">Liens avec les centrales à charbon et les exploitants des centrales à charbon </w:t>
      </w:r>
    </w:p>
    <w:p w:rsidR="00EE33E7" w:rsidRPr="001F35A0" w:rsidRDefault="00681438" w:rsidP="00087A9E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1F35A0">
        <w:rPr>
          <w:rFonts w:asciiTheme="minorHAnsi" w:hAnsiTheme="minorHAnsi"/>
          <w:lang w:val="fr-FR"/>
        </w:rPr>
        <w:t>Un fournisseur ne doit pas avoir de participation directe ou indirecte dans une centrale à charbon.</w:t>
      </w:r>
      <w:r w:rsidR="004A75F2" w:rsidRPr="001F35A0">
        <w:rPr>
          <w:rFonts w:asciiTheme="minorHAnsi" w:hAnsiTheme="minorHAnsi"/>
          <w:lang w:val="fr-FR"/>
        </w:rPr>
        <w:t xml:space="preserve"> </w:t>
      </w:r>
    </w:p>
    <w:p w:rsidR="004A75F2" w:rsidRDefault="00681438" w:rsidP="00087A9E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  <w:r w:rsidRPr="001F35A0">
        <w:rPr>
          <w:rFonts w:asciiTheme="minorHAnsi" w:hAnsiTheme="minorHAnsi"/>
          <w:lang w:val="fr-FR"/>
        </w:rPr>
        <w:t>Au cas où le fournisseur appartient indirectement ou directement</w:t>
      </w:r>
      <w:r w:rsidR="001F35A0" w:rsidRPr="001F35A0">
        <w:rPr>
          <w:rFonts w:asciiTheme="minorHAnsi" w:hAnsiTheme="minorHAnsi"/>
          <w:lang w:val="fr-FR"/>
        </w:rPr>
        <w:t xml:space="preserve"> à l’exploitant d’une centrale à charbon, la participation indirecte ou directe de ce dernier dans l’usine du fournisseur doit être inférieure à 50%.</w:t>
      </w:r>
    </w:p>
    <w:p w:rsidR="008054A9" w:rsidRPr="001F35A0" w:rsidRDefault="008054A9" w:rsidP="00087A9E">
      <w:pPr>
        <w:pStyle w:val="Default"/>
        <w:spacing w:line="276" w:lineRule="auto"/>
        <w:jc w:val="both"/>
        <w:rPr>
          <w:rFonts w:asciiTheme="minorHAnsi" w:hAnsiTheme="minorHAnsi"/>
          <w:lang w:val="fr-FR"/>
        </w:rPr>
      </w:pPr>
    </w:p>
    <w:p w:rsidR="00AC31B3" w:rsidRPr="00D52D0A" w:rsidRDefault="00AC31B3" w:rsidP="00B54BD7">
      <w:pPr>
        <w:pStyle w:val="Default"/>
        <w:spacing w:line="276" w:lineRule="auto"/>
        <w:rPr>
          <w:rFonts w:asciiTheme="minorHAnsi" w:hAnsiTheme="minorHAnsi"/>
          <w:lang w:val="fr-FR"/>
        </w:rPr>
      </w:pPr>
    </w:p>
    <w:p w:rsidR="00825F1C" w:rsidRPr="00BC7D8A" w:rsidRDefault="00825F1C" w:rsidP="00B54BD7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28"/>
          <w:lang w:val="fr-FR"/>
        </w:rPr>
      </w:pPr>
      <w:r w:rsidRPr="00BC7D8A">
        <w:rPr>
          <w:b/>
          <w:sz w:val="28"/>
          <w:szCs w:val="28"/>
          <w:lang w:val="fr-FR"/>
        </w:rPr>
        <w:t>Transpare</w:t>
      </w:r>
      <w:r w:rsidR="006D5D13" w:rsidRPr="00BC7D8A">
        <w:rPr>
          <w:b/>
          <w:sz w:val="28"/>
          <w:szCs w:val="28"/>
          <w:lang w:val="fr-FR"/>
        </w:rPr>
        <w:t>nce</w:t>
      </w:r>
      <w:r w:rsidRPr="00BC7D8A">
        <w:rPr>
          <w:b/>
          <w:sz w:val="28"/>
          <w:szCs w:val="28"/>
          <w:lang w:val="fr-FR"/>
        </w:rPr>
        <w:t xml:space="preserve">, </w:t>
      </w:r>
      <w:r w:rsidR="006D5D13" w:rsidRPr="00BC7D8A">
        <w:rPr>
          <w:b/>
          <w:sz w:val="28"/>
          <w:szCs w:val="28"/>
          <w:lang w:val="fr-FR"/>
        </w:rPr>
        <w:t xml:space="preserve">contrôle indépendant et </w:t>
      </w:r>
      <w:proofErr w:type="spellStart"/>
      <w:r w:rsidR="00E23369" w:rsidRPr="00BC7D8A">
        <w:rPr>
          <w:b/>
          <w:i/>
          <w:sz w:val="28"/>
          <w:szCs w:val="28"/>
          <w:lang w:val="fr-FR"/>
        </w:rPr>
        <w:t>labeling</w:t>
      </w:r>
      <w:proofErr w:type="spellEnd"/>
    </w:p>
    <w:p w:rsidR="00087A9E" w:rsidRPr="00BC7D8A" w:rsidRDefault="001F35A0" w:rsidP="00B54BD7">
      <w:pPr>
        <w:spacing w:line="276" w:lineRule="auto"/>
        <w:jc w:val="both"/>
        <w:rPr>
          <w:sz w:val="24"/>
          <w:szCs w:val="24"/>
          <w:lang w:val="fr-FR"/>
        </w:rPr>
      </w:pPr>
      <w:r w:rsidRPr="00BC7D8A">
        <w:rPr>
          <w:sz w:val="24"/>
          <w:szCs w:val="24"/>
          <w:lang w:val="fr-FR"/>
        </w:rPr>
        <w:t xml:space="preserve">Dans le but d’atteindre </w:t>
      </w:r>
      <w:r w:rsidR="00E23369" w:rsidRPr="00BC7D8A">
        <w:rPr>
          <w:sz w:val="24"/>
          <w:szCs w:val="24"/>
          <w:lang w:val="fr-FR"/>
        </w:rPr>
        <w:t>une</w:t>
      </w:r>
      <w:r w:rsidRPr="00BC7D8A">
        <w:rPr>
          <w:sz w:val="24"/>
          <w:szCs w:val="24"/>
          <w:lang w:val="fr-FR"/>
        </w:rPr>
        <w:t xml:space="preserve"> </w:t>
      </w:r>
      <w:r w:rsidR="00BC7D8A">
        <w:rPr>
          <w:sz w:val="24"/>
          <w:szCs w:val="24"/>
          <w:lang w:val="fr-FR"/>
        </w:rPr>
        <w:t>contrôlabilité ainsi qu’une</w:t>
      </w:r>
      <w:r w:rsidR="00BC7D8A" w:rsidRPr="00BC7D8A">
        <w:rPr>
          <w:sz w:val="24"/>
          <w:szCs w:val="24"/>
          <w:lang w:val="fr-FR"/>
        </w:rPr>
        <w:t xml:space="preserve"> </w:t>
      </w:r>
      <w:r w:rsidRPr="00BC7D8A">
        <w:rPr>
          <w:sz w:val="24"/>
          <w:szCs w:val="24"/>
          <w:lang w:val="fr-FR"/>
        </w:rPr>
        <w:t xml:space="preserve">transparence </w:t>
      </w:r>
      <w:r w:rsidR="00BC7D8A">
        <w:rPr>
          <w:sz w:val="24"/>
          <w:szCs w:val="24"/>
          <w:lang w:val="fr-FR"/>
        </w:rPr>
        <w:t>maximale -</w:t>
      </w:r>
      <w:r w:rsidR="00E23369" w:rsidRPr="00BC7D8A">
        <w:rPr>
          <w:sz w:val="24"/>
          <w:szCs w:val="24"/>
          <w:lang w:val="fr-FR"/>
        </w:rPr>
        <w:t xml:space="preserve"> cet objectif </w:t>
      </w:r>
      <w:r w:rsidRPr="00BC7D8A">
        <w:rPr>
          <w:sz w:val="24"/>
          <w:szCs w:val="24"/>
          <w:lang w:val="fr-FR"/>
        </w:rPr>
        <w:t>étant la condition essentiel</w:t>
      </w:r>
      <w:r w:rsidR="00BC7D8A">
        <w:rPr>
          <w:sz w:val="24"/>
          <w:szCs w:val="24"/>
          <w:lang w:val="fr-FR"/>
        </w:rPr>
        <w:t>le de la crédibilité du produit -</w:t>
      </w:r>
      <w:r w:rsidRPr="00BC7D8A">
        <w:rPr>
          <w:sz w:val="24"/>
          <w:szCs w:val="24"/>
          <w:lang w:val="fr-FR"/>
        </w:rPr>
        <w:t xml:space="preserve"> il faut </w:t>
      </w:r>
      <w:r w:rsidR="00E23369" w:rsidRPr="00BC7D8A">
        <w:rPr>
          <w:sz w:val="24"/>
          <w:szCs w:val="24"/>
          <w:lang w:val="fr-FR"/>
        </w:rPr>
        <w:t>garanti</w:t>
      </w:r>
      <w:r w:rsidR="00BC7D8A">
        <w:rPr>
          <w:sz w:val="24"/>
          <w:szCs w:val="24"/>
          <w:lang w:val="fr-FR"/>
        </w:rPr>
        <w:t>r</w:t>
      </w:r>
      <w:r w:rsidR="00E23369" w:rsidRPr="00BC7D8A">
        <w:rPr>
          <w:sz w:val="24"/>
          <w:szCs w:val="24"/>
          <w:lang w:val="fr-FR"/>
        </w:rPr>
        <w:t xml:space="preserve"> qu’un suivi réguli</w:t>
      </w:r>
      <w:r w:rsidRPr="00BC7D8A">
        <w:rPr>
          <w:sz w:val="24"/>
          <w:szCs w:val="24"/>
          <w:lang w:val="fr-FR"/>
        </w:rPr>
        <w:t>e</w:t>
      </w:r>
      <w:r w:rsidR="00E23369" w:rsidRPr="00BC7D8A">
        <w:rPr>
          <w:sz w:val="24"/>
          <w:szCs w:val="24"/>
          <w:lang w:val="fr-FR"/>
        </w:rPr>
        <w:t>r</w:t>
      </w:r>
      <w:r w:rsidRPr="00BC7D8A">
        <w:rPr>
          <w:sz w:val="24"/>
          <w:szCs w:val="24"/>
          <w:lang w:val="fr-FR"/>
        </w:rPr>
        <w:t xml:space="preserve"> </w:t>
      </w:r>
      <w:r w:rsidR="00E23369" w:rsidRPr="00BC7D8A">
        <w:rPr>
          <w:sz w:val="24"/>
          <w:szCs w:val="24"/>
          <w:lang w:val="fr-FR"/>
        </w:rPr>
        <w:t xml:space="preserve">soit assuré </w:t>
      </w:r>
      <w:r w:rsidRPr="00BC7D8A">
        <w:rPr>
          <w:sz w:val="24"/>
          <w:szCs w:val="24"/>
          <w:lang w:val="fr-FR"/>
        </w:rPr>
        <w:t>par des experts indépendants.</w:t>
      </w:r>
      <w:r w:rsidR="00825F1C" w:rsidRPr="00BC7D8A">
        <w:rPr>
          <w:sz w:val="24"/>
          <w:szCs w:val="24"/>
          <w:lang w:val="fr-FR"/>
        </w:rPr>
        <w:t xml:space="preserve"> </w:t>
      </w:r>
    </w:p>
    <w:p w:rsidR="00825F1C" w:rsidRPr="00BC7D8A" w:rsidRDefault="00BC7D8A" w:rsidP="00B54BD7">
      <w:pPr>
        <w:spacing w:line="276" w:lineRule="auto"/>
        <w:jc w:val="both"/>
        <w:rPr>
          <w:sz w:val="24"/>
          <w:szCs w:val="24"/>
          <w:lang w:val="fr-FR"/>
        </w:rPr>
      </w:pPr>
      <w:r w:rsidRPr="00BC7D8A">
        <w:rPr>
          <w:sz w:val="24"/>
          <w:szCs w:val="24"/>
          <w:lang w:val="fr-FR"/>
        </w:rPr>
        <w:t xml:space="preserve">Le contenu du </w:t>
      </w:r>
      <w:r w:rsidR="0048508D">
        <w:rPr>
          <w:sz w:val="24"/>
          <w:szCs w:val="24"/>
          <w:lang w:val="fr-FR"/>
        </w:rPr>
        <w:t xml:space="preserve">plan de </w:t>
      </w:r>
      <w:r w:rsidRPr="00BC7D8A">
        <w:rPr>
          <w:sz w:val="24"/>
          <w:szCs w:val="24"/>
          <w:lang w:val="fr-FR"/>
        </w:rPr>
        <w:t>suivi consiste pri</w:t>
      </w:r>
      <w:r w:rsidR="0048508D">
        <w:rPr>
          <w:sz w:val="24"/>
          <w:szCs w:val="24"/>
          <w:lang w:val="fr-FR"/>
        </w:rPr>
        <w:t>ncipa</w:t>
      </w:r>
      <w:r w:rsidRPr="00BC7D8A">
        <w:rPr>
          <w:sz w:val="24"/>
          <w:szCs w:val="24"/>
          <w:lang w:val="fr-FR"/>
        </w:rPr>
        <w:t xml:space="preserve">lement </w:t>
      </w:r>
      <w:r>
        <w:rPr>
          <w:sz w:val="24"/>
          <w:szCs w:val="24"/>
          <w:lang w:val="fr-FR"/>
        </w:rPr>
        <w:t>à vérifier</w:t>
      </w:r>
      <w:r w:rsidRPr="00BC7D8A">
        <w:rPr>
          <w:sz w:val="24"/>
          <w:szCs w:val="24"/>
          <w:lang w:val="fr-FR"/>
        </w:rPr>
        <w:t xml:space="preserve">:  </w:t>
      </w:r>
    </w:p>
    <w:p w:rsidR="00825F1C" w:rsidRPr="00BC7D8A" w:rsidRDefault="00825F1C" w:rsidP="00B54BD7">
      <w:pPr>
        <w:spacing w:line="276" w:lineRule="auto"/>
        <w:rPr>
          <w:sz w:val="24"/>
          <w:szCs w:val="24"/>
          <w:lang w:val="fr-FR"/>
        </w:rPr>
      </w:pPr>
      <w:r w:rsidRPr="00D52D0A">
        <w:rPr>
          <w:sz w:val="24"/>
          <w:szCs w:val="24"/>
          <w:lang w:val="fr-FR"/>
        </w:rPr>
        <w:t xml:space="preserve">• </w:t>
      </w:r>
      <w:r w:rsidR="00BC7D8A" w:rsidRPr="00BC7D8A">
        <w:rPr>
          <w:sz w:val="24"/>
          <w:szCs w:val="24"/>
          <w:lang w:val="fr-FR"/>
        </w:rPr>
        <w:t>le respect des directives en matière de mix électrique</w:t>
      </w:r>
      <w:r w:rsidR="00087A9E" w:rsidRPr="00BC7D8A">
        <w:rPr>
          <w:sz w:val="24"/>
          <w:szCs w:val="24"/>
          <w:lang w:val="fr-FR"/>
        </w:rPr>
        <w:t>;</w:t>
      </w:r>
    </w:p>
    <w:p w:rsidR="00825F1C" w:rsidRPr="0048508D" w:rsidRDefault="00825F1C" w:rsidP="00B54BD7">
      <w:pPr>
        <w:spacing w:line="276" w:lineRule="auto"/>
        <w:rPr>
          <w:sz w:val="24"/>
          <w:szCs w:val="24"/>
          <w:lang w:val="fr-FR"/>
        </w:rPr>
      </w:pPr>
      <w:r w:rsidRPr="0048508D">
        <w:rPr>
          <w:sz w:val="24"/>
          <w:szCs w:val="24"/>
          <w:lang w:val="fr-FR"/>
        </w:rPr>
        <w:t xml:space="preserve">• </w:t>
      </w:r>
      <w:r w:rsidR="00BC7D8A" w:rsidRPr="0048508D">
        <w:rPr>
          <w:sz w:val="24"/>
          <w:szCs w:val="24"/>
          <w:lang w:val="fr-FR"/>
        </w:rPr>
        <w:t>l’origine de l’électricité, les sources d’énergies et la structure d’âge des installations de production</w:t>
      </w:r>
      <w:r w:rsidR="00087A9E" w:rsidRPr="0048508D">
        <w:rPr>
          <w:sz w:val="24"/>
          <w:szCs w:val="24"/>
          <w:lang w:val="fr-FR"/>
        </w:rPr>
        <w:t>;</w:t>
      </w:r>
    </w:p>
    <w:p w:rsidR="00825F1C" w:rsidRPr="0048508D" w:rsidRDefault="00825F1C" w:rsidP="00B54BD7">
      <w:pPr>
        <w:spacing w:line="276" w:lineRule="auto"/>
        <w:rPr>
          <w:sz w:val="24"/>
          <w:szCs w:val="24"/>
          <w:lang w:val="fr-FR"/>
        </w:rPr>
      </w:pPr>
      <w:r w:rsidRPr="0048508D">
        <w:rPr>
          <w:sz w:val="24"/>
          <w:szCs w:val="24"/>
          <w:lang w:val="fr-FR"/>
        </w:rPr>
        <w:t xml:space="preserve">• </w:t>
      </w:r>
      <w:r w:rsidR="00BC7D8A" w:rsidRPr="0048508D">
        <w:rPr>
          <w:sz w:val="24"/>
          <w:szCs w:val="24"/>
          <w:lang w:val="fr-FR"/>
        </w:rPr>
        <w:t>l’indic</w:t>
      </w:r>
      <w:r w:rsidR="00E72C93" w:rsidRPr="0048508D">
        <w:rPr>
          <w:sz w:val="24"/>
          <w:szCs w:val="24"/>
          <w:lang w:val="fr-FR"/>
        </w:rPr>
        <w:t>e</w:t>
      </w:r>
      <w:r w:rsidR="00BC7D8A" w:rsidRPr="0048508D">
        <w:rPr>
          <w:sz w:val="24"/>
          <w:szCs w:val="24"/>
          <w:lang w:val="fr-FR"/>
        </w:rPr>
        <w:t xml:space="preserve"> d’émission moyen</w:t>
      </w:r>
      <w:r w:rsidR="00087A9E" w:rsidRPr="0048508D">
        <w:rPr>
          <w:sz w:val="24"/>
          <w:szCs w:val="24"/>
          <w:lang w:val="fr-FR"/>
        </w:rPr>
        <w:t>;</w:t>
      </w:r>
    </w:p>
    <w:p w:rsidR="00825F1C" w:rsidRPr="0048508D" w:rsidRDefault="00E72C93" w:rsidP="00B54BD7">
      <w:pPr>
        <w:spacing w:line="276" w:lineRule="auto"/>
        <w:jc w:val="both"/>
        <w:rPr>
          <w:sz w:val="24"/>
          <w:szCs w:val="24"/>
          <w:lang w:val="fr-FR"/>
        </w:rPr>
      </w:pPr>
      <w:r w:rsidRPr="0048508D">
        <w:rPr>
          <w:sz w:val="24"/>
          <w:szCs w:val="24"/>
          <w:lang w:val="fr-FR"/>
        </w:rPr>
        <w:t>Le marquage/</w:t>
      </w:r>
      <w:proofErr w:type="spellStart"/>
      <w:r w:rsidRPr="0048508D">
        <w:rPr>
          <w:i/>
          <w:sz w:val="24"/>
          <w:szCs w:val="24"/>
          <w:lang w:val="fr-FR"/>
        </w:rPr>
        <w:t>l</w:t>
      </w:r>
      <w:r w:rsidR="00B74C3B" w:rsidRPr="0048508D">
        <w:rPr>
          <w:i/>
          <w:sz w:val="24"/>
          <w:szCs w:val="24"/>
          <w:lang w:val="fr-FR"/>
        </w:rPr>
        <w:t>abe</w:t>
      </w:r>
      <w:r w:rsidR="00825F1C" w:rsidRPr="0048508D">
        <w:rPr>
          <w:i/>
          <w:sz w:val="24"/>
          <w:szCs w:val="24"/>
          <w:lang w:val="fr-FR"/>
        </w:rPr>
        <w:t>ling</w:t>
      </w:r>
      <w:proofErr w:type="spellEnd"/>
      <w:r w:rsidR="00825F1C" w:rsidRPr="0048508D">
        <w:rPr>
          <w:sz w:val="24"/>
          <w:szCs w:val="24"/>
          <w:lang w:val="fr-FR"/>
        </w:rPr>
        <w:t xml:space="preserve"> </w:t>
      </w:r>
      <w:r w:rsidRPr="0048508D">
        <w:rPr>
          <w:sz w:val="24"/>
          <w:szCs w:val="24"/>
          <w:lang w:val="fr-FR"/>
        </w:rPr>
        <w:t xml:space="preserve">du courant se fait </w:t>
      </w:r>
      <w:r w:rsidR="0048508D" w:rsidRPr="0048508D">
        <w:rPr>
          <w:sz w:val="24"/>
          <w:szCs w:val="24"/>
          <w:lang w:val="fr-FR"/>
        </w:rPr>
        <w:t>de</w:t>
      </w:r>
      <w:r w:rsidRPr="0048508D">
        <w:rPr>
          <w:sz w:val="24"/>
          <w:szCs w:val="24"/>
          <w:lang w:val="fr-FR"/>
        </w:rPr>
        <w:t xml:space="preserve"> manière</w:t>
      </w:r>
      <w:r w:rsidR="0048508D" w:rsidRPr="0048508D">
        <w:rPr>
          <w:sz w:val="24"/>
          <w:szCs w:val="24"/>
          <w:lang w:val="fr-FR"/>
        </w:rPr>
        <w:t xml:space="preserve"> à informer le client-consommateur sur le mix électrique, son </w:t>
      </w:r>
      <w:r w:rsidR="00C402A3">
        <w:rPr>
          <w:sz w:val="24"/>
          <w:szCs w:val="24"/>
          <w:lang w:val="fr-FR"/>
        </w:rPr>
        <w:t>impact sur l’environnement (notamment</w:t>
      </w:r>
      <w:r w:rsidR="0048508D" w:rsidRPr="0048508D">
        <w:rPr>
          <w:sz w:val="24"/>
          <w:szCs w:val="24"/>
          <w:lang w:val="fr-FR"/>
        </w:rPr>
        <w:t xml:space="preserve"> la concentration de CO</w:t>
      </w:r>
      <w:r w:rsidR="0048508D" w:rsidRPr="0048508D">
        <w:rPr>
          <w:sz w:val="24"/>
          <w:szCs w:val="24"/>
          <w:vertAlign w:val="subscript"/>
          <w:lang w:val="fr-FR"/>
        </w:rPr>
        <w:t xml:space="preserve">2 </w:t>
      </w:r>
      <w:r w:rsidR="0048508D" w:rsidRPr="0048508D">
        <w:rPr>
          <w:sz w:val="24"/>
          <w:szCs w:val="24"/>
          <w:lang w:val="fr-FR"/>
        </w:rPr>
        <w:t>est importante) et sur l’origine de l’électricité</w:t>
      </w:r>
      <w:r w:rsidR="00825F1C" w:rsidRPr="0048508D">
        <w:rPr>
          <w:sz w:val="24"/>
          <w:szCs w:val="24"/>
          <w:lang w:val="fr-FR"/>
        </w:rPr>
        <w:t>.</w:t>
      </w:r>
    </w:p>
    <w:p w:rsidR="00825F1C" w:rsidRPr="00D52D0A" w:rsidRDefault="00825F1C" w:rsidP="00B54BD7">
      <w:pPr>
        <w:spacing w:line="276" w:lineRule="auto"/>
        <w:rPr>
          <w:b/>
          <w:sz w:val="28"/>
          <w:szCs w:val="28"/>
          <w:lang w:val="fr-FR"/>
        </w:rPr>
      </w:pPr>
    </w:p>
    <w:p w:rsidR="00825F1C" w:rsidRPr="007C617B" w:rsidRDefault="0048508D" w:rsidP="00B54BD7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28"/>
          <w:lang w:val="fr-FR"/>
        </w:rPr>
      </w:pPr>
      <w:r w:rsidRPr="007C617B">
        <w:rPr>
          <w:b/>
          <w:sz w:val="28"/>
          <w:szCs w:val="28"/>
          <w:lang w:val="fr-FR"/>
        </w:rPr>
        <w:t xml:space="preserve">Conseils portant sur </w:t>
      </w:r>
      <w:r w:rsidR="007C617B" w:rsidRPr="007C617B">
        <w:rPr>
          <w:b/>
          <w:sz w:val="28"/>
          <w:szCs w:val="28"/>
          <w:lang w:val="fr-FR"/>
        </w:rPr>
        <w:t xml:space="preserve">les économies d’énergie </w:t>
      </w:r>
    </w:p>
    <w:p w:rsidR="00825F1C" w:rsidRPr="007C617B" w:rsidRDefault="007C617B" w:rsidP="00B54BD7">
      <w:pPr>
        <w:spacing w:line="276" w:lineRule="auto"/>
        <w:jc w:val="both"/>
        <w:rPr>
          <w:sz w:val="24"/>
          <w:szCs w:val="24"/>
          <w:lang w:val="fr-FR"/>
        </w:rPr>
      </w:pPr>
      <w:r w:rsidRPr="007C617B">
        <w:rPr>
          <w:sz w:val="24"/>
          <w:szCs w:val="24"/>
          <w:lang w:val="fr-FR"/>
        </w:rPr>
        <w:t>Les fournisseurs d’électricité informent leurs clients sur les potentielles économies qui peuvent être réalisées dans la gestion de leur consommation électri</w:t>
      </w:r>
      <w:r w:rsidR="00C402A3">
        <w:rPr>
          <w:sz w:val="24"/>
          <w:szCs w:val="24"/>
          <w:lang w:val="fr-FR"/>
        </w:rPr>
        <w:t>que et leur offrent au-delà un « </w:t>
      </w:r>
      <w:r w:rsidRPr="007C617B">
        <w:rPr>
          <w:sz w:val="24"/>
          <w:szCs w:val="24"/>
          <w:lang w:val="fr-FR"/>
        </w:rPr>
        <w:t>service économie d’énergi</w:t>
      </w:r>
      <w:r w:rsidR="00C402A3">
        <w:rPr>
          <w:sz w:val="24"/>
          <w:szCs w:val="24"/>
          <w:lang w:val="fr-FR"/>
        </w:rPr>
        <w:t>e »</w:t>
      </w:r>
      <w:r w:rsidRPr="007C617B">
        <w:rPr>
          <w:sz w:val="24"/>
          <w:szCs w:val="24"/>
          <w:lang w:val="fr-FR"/>
        </w:rPr>
        <w:t xml:space="preserve"> gratuit. </w:t>
      </w:r>
      <w:r w:rsidR="001464FA" w:rsidRPr="007C617B">
        <w:rPr>
          <w:sz w:val="24"/>
          <w:szCs w:val="24"/>
          <w:lang w:val="fr-FR"/>
        </w:rPr>
        <w:t xml:space="preserve"> </w:t>
      </w:r>
    </w:p>
    <w:p w:rsidR="0014635C" w:rsidRPr="00D52D0A" w:rsidRDefault="0014635C" w:rsidP="00B54BD7">
      <w:pPr>
        <w:spacing w:line="276" w:lineRule="auto"/>
        <w:rPr>
          <w:b/>
          <w:sz w:val="32"/>
          <w:szCs w:val="32"/>
          <w:lang w:val="fr-FR"/>
        </w:rPr>
      </w:pPr>
    </w:p>
    <w:p w:rsidR="00D52D0A" w:rsidRDefault="00D52D0A" w:rsidP="00B54BD7">
      <w:pPr>
        <w:spacing w:line="276" w:lineRule="auto"/>
        <w:rPr>
          <w:b/>
          <w:sz w:val="32"/>
          <w:szCs w:val="32"/>
          <w:lang w:val="fr-FR"/>
        </w:rPr>
      </w:pPr>
    </w:p>
    <w:p w:rsidR="00393070" w:rsidRPr="00CE1A7D" w:rsidRDefault="00CE1A7D" w:rsidP="00B54BD7">
      <w:pPr>
        <w:spacing w:line="276" w:lineRule="auto"/>
        <w:rPr>
          <w:b/>
          <w:sz w:val="32"/>
          <w:szCs w:val="32"/>
          <w:lang w:val="fr-FR"/>
        </w:rPr>
      </w:pPr>
      <w:r w:rsidRPr="00CE1A7D">
        <w:rPr>
          <w:b/>
          <w:sz w:val="32"/>
          <w:szCs w:val="32"/>
          <w:lang w:val="fr-FR"/>
        </w:rPr>
        <w:lastRenderedPageBreak/>
        <w:t xml:space="preserve">Critères de </w:t>
      </w:r>
      <w:r w:rsidR="00A12C75">
        <w:rPr>
          <w:b/>
          <w:sz w:val="32"/>
          <w:szCs w:val="32"/>
          <w:lang w:val="fr-FR"/>
        </w:rPr>
        <w:t>valeur ajoutée</w:t>
      </w:r>
      <w:r w:rsidRPr="00CE1A7D">
        <w:rPr>
          <w:b/>
          <w:sz w:val="32"/>
          <w:szCs w:val="32"/>
          <w:lang w:val="fr-FR"/>
        </w:rPr>
        <w:t xml:space="preserve"> </w:t>
      </w:r>
      <w:r w:rsidR="00C87887" w:rsidRPr="00CE1A7D">
        <w:rPr>
          <w:b/>
          <w:sz w:val="32"/>
          <w:szCs w:val="32"/>
          <w:lang w:val="fr-FR"/>
        </w:rPr>
        <w:t>(</w:t>
      </w:r>
      <w:proofErr w:type="spellStart"/>
      <w:r w:rsidR="00C87887" w:rsidRPr="00CE1A7D">
        <w:rPr>
          <w:b/>
          <w:i/>
          <w:sz w:val="32"/>
          <w:szCs w:val="32"/>
          <w:lang w:val="fr-FR"/>
        </w:rPr>
        <w:t>nice</w:t>
      </w:r>
      <w:proofErr w:type="spellEnd"/>
      <w:r w:rsidR="00C87887" w:rsidRPr="00CE1A7D">
        <w:rPr>
          <w:b/>
          <w:i/>
          <w:sz w:val="32"/>
          <w:szCs w:val="32"/>
          <w:lang w:val="fr-FR"/>
        </w:rPr>
        <w:t>-to-have</w:t>
      </w:r>
      <w:r w:rsidR="00C87887" w:rsidRPr="00CE1A7D">
        <w:rPr>
          <w:b/>
          <w:sz w:val="32"/>
          <w:szCs w:val="32"/>
          <w:lang w:val="fr-FR"/>
        </w:rPr>
        <w:t>)</w:t>
      </w:r>
    </w:p>
    <w:p w:rsidR="00393070" w:rsidRPr="00A12C75" w:rsidRDefault="00CE1A7D" w:rsidP="00B54BD7">
      <w:pPr>
        <w:spacing w:line="276" w:lineRule="auto"/>
        <w:jc w:val="both"/>
        <w:rPr>
          <w:sz w:val="24"/>
          <w:szCs w:val="24"/>
          <w:lang w:val="fr-FR"/>
        </w:rPr>
      </w:pPr>
      <w:r w:rsidRPr="00A12C75">
        <w:rPr>
          <w:sz w:val="24"/>
          <w:szCs w:val="24"/>
          <w:lang w:val="fr-FR"/>
        </w:rPr>
        <w:t>Ci-après sont énuméré</w:t>
      </w:r>
      <w:r w:rsidR="00A12C75">
        <w:rPr>
          <w:sz w:val="24"/>
          <w:szCs w:val="24"/>
          <w:lang w:val="fr-FR"/>
        </w:rPr>
        <w:t>e</w:t>
      </w:r>
      <w:r w:rsidRPr="00A12C75">
        <w:rPr>
          <w:sz w:val="24"/>
          <w:szCs w:val="24"/>
          <w:lang w:val="fr-FR"/>
        </w:rPr>
        <w:t xml:space="preserve">s quelques possibilités qui ne tombent pas encore sous les exigences minimales retenues par Greenpeace et Mouvement Ecologique, mais qui </w:t>
      </w:r>
      <w:r w:rsidR="00C402A3">
        <w:rPr>
          <w:sz w:val="24"/>
          <w:szCs w:val="24"/>
          <w:lang w:val="fr-FR"/>
        </w:rPr>
        <w:t>permettent aux fournisseurs de « </w:t>
      </w:r>
      <w:r w:rsidRPr="00A12C75">
        <w:rPr>
          <w:sz w:val="24"/>
          <w:szCs w:val="24"/>
          <w:lang w:val="fr-FR"/>
        </w:rPr>
        <w:t xml:space="preserve">courant </w:t>
      </w:r>
      <w:r w:rsidR="00C402A3">
        <w:rPr>
          <w:sz w:val="24"/>
          <w:szCs w:val="24"/>
          <w:lang w:val="fr-FR"/>
        </w:rPr>
        <w:t>vert »</w:t>
      </w:r>
      <w:r w:rsidRPr="00A12C75">
        <w:rPr>
          <w:sz w:val="24"/>
          <w:szCs w:val="24"/>
          <w:lang w:val="fr-FR"/>
        </w:rPr>
        <w:t xml:space="preserve"> de se distinguer </w:t>
      </w:r>
      <w:r w:rsidR="00A12C75" w:rsidRPr="00A12C75">
        <w:rPr>
          <w:sz w:val="24"/>
          <w:szCs w:val="24"/>
          <w:lang w:val="fr-FR"/>
        </w:rPr>
        <w:t>des produits concurrents et de souligner la valeur ajoutée de leur offre:</w:t>
      </w:r>
      <w:r w:rsidRPr="00A12C75">
        <w:rPr>
          <w:sz w:val="24"/>
          <w:szCs w:val="24"/>
          <w:lang w:val="fr-FR"/>
        </w:rPr>
        <w:t xml:space="preserve"> </w:t>
      </w:r>
    </w:p>
    <w:p w:rsidR="00361D36" w:rsidRPr="00B20110" w:rsidRDefault="00A12C75" w:rsidP="001D22FE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  <w:lang w:val="fr-FR"/>
        </w:rPr>
      </w:pPr>
      <w:r w:rsidRPr="00B20110">
        <w:rPr>
          <w:b/>
          <w:sz w:val="24"/>
          <w:szCs w:val="24"/>
          <w:lang w:val="fr-FR"/>
        </w:rPr>
        <w:t xml:space="preserve">Certification de développement durable d’unités de production </w:t>
      </w:r>
    </w:p>
    <w:p w:rsidR="00393070" w:rsidRPr="00B20110" w:rsidRDefault="00A12C75" w:rsidP="00361D36">
      <w:pPr>
        <w:pStyle w:val="ListParagraph"/>
        <w:spacing w:line="276" w:lineRule="auto"/>
        <w:ind w:left="1080"/>
        <w:jc w:val="both"/>
        <w:rPr>
          <w:sz w:val="24"/>
          <w:szCs w:val="24"/>
          <w:lang w:val="fr-FR"/>
        </w:rPr>
      </w:pPr>
      <w:r w:rsidRPr="00B20110">
        <w:rPr>
          <w:sz w:val="24"/>
          <w:szCs w:val="24"/>
          <w:lang w:val="fr-FR"/>
        </w:rPr>
        <w:t>Partout en Europe, la certification</w:t>
      </w:r>
      <w:r w:rsidR="003E4FCA" w:rsidRPr="00B20110">
        <w:rPr>
          <w:sz w:val="24"/>
          <w:szCs w:val="24"/>
          <w:lang w:val="fr-FR"/>
        </w:rPr>
        <w:t xml:space="preserve"> de développement durable</w:t>
      </w:r>
      <w:r w:rsidRPr="00B20110">
        <w:rPr>
          <w:sz w:val="24"/>
          <w:szCs w:val="24"/>
          <w:lang w:val="fr-FR"/>
        </w:rPr>
        <w:t xml:space="preserve"> d’unités de production</w:t>
      </w:r>
      <w:r w:rsidR="003E4FCA" w:rsidRPr="00B20110">
        <w:rPr>
          <w:sz w:val="24"/>
          <w:szCs w:val="24"/>
          <w:lang w:val="fr-FR"/>
        </w:rPr>
        <w:t xml:space="preserve"> à base d’énergies renouvelables</w:t>
      </w:r>
      <w:r w:rsidRPr="00B20110">
        <w:rPr>
          <w:sz w:val="24"/>
          <w:szCs w:val="24"/>
          <w:lang w:val="fr-FR"/>
        </w:rPr>
        <w:t xml:space="preserve"> </w:t>
      </w:r>
      <w:r w:rsidR="00556632" w:rsidRPr="00B20110">
        <w:rPr>
          <w:sz w:val="24"/>
          <w:szCs w:val="24"/>
          <w:lang w:val="fr-FR"/>
        </w:rPr>
        <w:t xml:space="preserve">(p.ex. au moyen de l’initiative </w:t>
      </w:r>
      <w:proofErr w:type="spellStart"/>
      <w:r w:rsidR="00556632" w:rsidRPr="00B20110">
        <w:rPr>
          <w:sz w:val="24"/>
          <w:szCs w:val="24"/>
          <w:lang w:val="fr-FR"/>
        </w:rPr>
        <w:t>EKOenergy</w:t>
      </w:r>
      <w:proofErr w:type="spellEnd"/>
      <w:r w:rsidR="00556632" w:rsidRPr="00B20110">
        <w:rPr>
          <w:sz w:val="24"/>
          <w:szCs w:val="24"/>
          <w:lang w:val="fr-FR"/>
        </w:rPr>
        <w:t>)</w:t>
      </w:r>
      <w:r w:rsidR="00B20110">
        <w:rPr>
          <w:sz w:val="24"/>
          <w:szCs w:val="24"/>
          <w:lang w:val="fr-FR"/>
        </w:rPr>
        <w:t xml:space="preserve"> </w:t>
      </w:r>
      <w:r w:rsidR="00B20110" w:rsidRPr="00B20110">
        <w:rPr>
          <w:sz w:val="24"/>
          <w:szCs w:val="24"/>
          <w:lang w:val="fr-FR"/>
        </w:rPr>
        <w:t>connaît un véritable essor</w:t>
      </w:r>
      <w:r w:rsidR="00B20110">
        <w:rPr>
          <w:sz w:val="24"/>
          <w:szCs w:val="24"/>
          <w:lang w:val="fr-FR"/>
        </w:rPr>
        <w:t>.</w:t>
      </w:r>
      <w:r w:rsidR="00B20110" w:rsidRPr="00B20110">
        <w:rPr>
          <w:sz w:val="24"/>
          <w:szCs w:val="24"/>
          <w:lang w:val="fr-FR"/>
        </w:rPr>
        <w:t xml:space="preserve"> Cette certification </w:t>
      </w:r>
      <w:r w:rsidR="00B20110">
        <w:rPr>
          <w:sz w:val="24"/>
          <w:szCs w:val="24"/>
          <w:lang w:val="fr-FR"/>
        </w:rPr>
        <w:t>témoigne du</w:t>
      </w:r>
      <w:r w:rsidR="00B20110" w:rsidRPr="00B20110">
        <w:rPr>
          <w:sz w:val="24"/>
          <w:szCs w:val="24"/>
          <w:lang w:val="fr-FR"/>
        </w:rPr>
        <w:t xml:space="preserve"> faible impact environnemental des unités de production et renforce </w:t>
      </w:r>
      <w:proofErr w:type="spellStart"/>
      <w:r w:rsidR="00B20110" w:rsidRPr="00B20110">
        <w:rPr>
          <w:sz w:val="24"/>
          <w:szCs w:val="24"/>
          <w:lang w:val="fr-FR"/>
        </w:rPr>
        <w:t>e.a</w:t>
      </w:r>
      <w:proofErr w:type="spellEnd"/>
      <w:r w:rsidR="00B20110" w:rsidRPr="00B20110">
        <w:rPr>
          <w:sz w:val="24"/>
          <w:szCs w:val="24"/>
          <w:lang w:val="fr-FR"/>
        </w:rPr>
        <w:t xml:space="preserve">. l’acceptation </w:t>
      </w:r>
      <w:r w:rsidR="00B20110">
        <w:rPr>
          <w:sz w:val="24"/>
          <w:szCs w:val="24"/>
          <w:lang w:val="fr-FR"/>
        </w:rPr>
        <w:t>des</w:t>
      </w:r>
      <w:r w:rsidR="00B20110" w:rsidRPr="00B20110">
        <w:rPr>
          <w:sz w:val="24"/>
          <w:szCs w:val="24"/>
          <w:lang w:val="fr-FR"/>
        </w:rPr>
        <w:t xml:space="preserve"> clients.</w:t>
      </w:r>
    </w:p>
    <w:p w:rsidR="00DB78E6" w:rsidRPr="00D52D0A" w:rsidRDefault="00DB78E6" w:rsidP="00361D36">
      <w:pPr>
        <w:pStyle w:val="ListParagraph"/>
        <w:spacing w:line="276" w:lineRule="auto"/>
        <w:ind w:left="1080"/>
        <w:jc w:val="both"/>
        <w:rPr>
          <w:sz w:val="24"/>
          <w:szCs w:val="24"/>
          <w:lang w:val="fr-FR"/>
        </w:rPr>
      </w:pPr>
    </w:p>
    <w:p w:rsidR="00361D36" w:rsidRPr="00B20110" w:rsidRDefault="00B20110" w:rsidP="00361D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color w:val="000000"/>
          <w:sz w:val="24"/>
          <w:szCs w:val="24"/>
          <w:lang w:val="fr-FR"/>
        </w:rPr>
      </w:pPr>
      <w:r w:rsidRPr="00B20110">
        <w:rPr>
          <w:rFonts w:cs="Arial"/>
          <w:b/>
          <w:color w:val="000000"/>
          <w:sz w:val="24"/>
          <w:szCs w:val="24"/>
          <w:lang w:val="fr-FR"/>
        </w:rPr>
        <w:t xml:space="preserve">Financement de projets innovateurs à des fins d’intégration des énergies renouvelables </w:t>
      </w:r>
    </w:p>
    <w:p w:rsidR="004A75F2" w:rsidRPr="002255B5" w:rsidRDefault="009F643E" w:rsidP="00481425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lang w:val="fr-FR"/>
        </w:rPr>
      </w:pPr>
      <w:r w:rsidRPr="002255B5">
        <w:rPr>
          <w:rFonts w:cs="Arial"/>
          <w:color w:val="000000"/>
          <w:sz w:val="24"/>
          <w:szCs w:val="24"/>
          <w:lang w:val="fr-FR"/>
        </w:rPr>
        <w:t xml:space="preserve">A côté de la construction de nouvelles installations de production, l’intégration réussie des énergies renouvelables dans le système d’approvisionnement en électricité joue un rôle de plus en plus important. </w:t>
      </w:r>
      <w:r w:rsidR="00FF0789" w:rsidRPr="002255B5">
        <w:rPr>
          <w:rFonts w:cs="Arial"/>
          <w:color w:val="000000"/>
          <w:sz w:val="24"/>
          <w:szCs w:val="24"/>
          <w:lang w:val="fr-FR"/>
        </w:rPr>
        <w:t xml:space="preserve">Outre la valeur ajoutée apportée en termes d’efficacité énergétique et d’économie d’énergie, les investissements dans les technologies innovatrices afin de compenser les fluctuations </w:t>
      </w:r>
      <w:r w:rsidR="00D717B2">
        <w:rPr>
          <w:rFonts w:cs="Arial"/>
          <w:color w:val="000000"/>
          <w:sz w:val="24"/>
          <w:szCs w:val="24"/>
          <w:lang w:val="fr-FR"/>
        </w:rPr>
        <w:t>de</w:t>
      </w:r>
      <w:r w:rsidR="00FF0789" w:rsidRPr="002255B5">
        <w:rPr>
          <w:rFonts w:cs="Arial"/>
          <w:color w:val="000000"/>
          <w:sz w:val="24"/>
          <w:szCs w:val="24"/>
          <w:lang w:val="fr-FR"/>
        </w:rPr>
        <w:t xml:space="preserve"> la production ainsi que les variations </w:t>
      </w:r>
      <w:r w:rsidR="00D717B2">
        <w:rPr>
          <w:rFonts w:cs="Arial"/>
          <w:color w:val="000000"/>
          <w:sz w:val="24"/>
          <w:szCs w:val="24"/>
          <w:lang w:val="fr-FR"/>
        </w:rPr>
        <w:t>de</w:t>
      </w:r>
      <w:r w:rsidR="00FF0789" w:rsidRPr="002255B5">
        <w:rPr>
          <w:rFonts w:cs="Arial"/>
          <w:color w:val="000000"/>
          <w:sz w:val="24"/>
          <w:szCs w:val="24"/>
          <w:lang w:val="fr-FR"/>
        </w:rPr>
        <w:t xml:space="preserve"> la consommation, font partie de ces projets. C’est la raison pour laquelle de p</w:t>
      </w:r>
      <w:r w:rsidR="00D717B2">
        <w:rPr>
          <w:rFonts w:cs="Arial"/>
          <w:color w:val="000000"/>
          <w:sz w:val="24"/>
          <w:szCs w:val="24"/>
          <w:lang w:val="fr-FR"/>
        </w:rPr>
        <w:t>lus en plus de fournisseurs de « courant vert »</w:t>
      </w:r>
      <w:r w:rsidR="00FF0789" w:rsidRPr="002255B5">
        <w:rPr>
          <w:rFonts w:cs="Arial"/>
          <w:color w:val="000000"/>
          <w:sz w:val="24"/>
          <w:szCs w:val="24"/>
          <w:lang w:val="fr-FR"/>
        </w:rPr>
        <w:t xml:space="preserve"> contribuent </w:t>
      </w:r>
      <w:r w:rsidR="002255B5" w:rsidRPr="002255B5">
        <w:rPr>
          <w:rFonts w:cs="Arial"/>
          <w:color w:val="000000"/>
          <w:sz w:val="24"/>
          <w:szCs w:val="24"/>
          <w:lang w:val="fr-FR"/>
        </w:rPr>
        <w:t>à l’alimentation d’un fonds destiné à financer les projets qui innovent dans ce sens par le versement d’</w:t>
      </w:r>
      <w:r w:rsidR="00FF0789" w:rsidRPr="002255B5">
        <w:rPr>
          <w:rFonts w:cs="Arial"/>
          <w:color w:val="000000"/>
          <w:sz w:val="24"/>
          <w:szCs w:val="24"/>
          <w:lang w:val="fr-FR"/>
        </w:rPr>
        <w:t>un montant fixe par</w:t>
      </w:r>
      <w:r w:rsidR="002255B5" w:rsidRPr="002255B5">
        <w:rPr>
          <w:rFonts w:cs="Arial"/>
          <w:color w:val="000000"/>
          <w:sz w:val="24"/>
          <w:szCs w:val="24"/>
          <w:lang w:val="fr-FR"/>
        </w:rPr>
        <w:t xml:space="preserve"> k</w:t>
      </w:r>
      <w:r w:rsidR="002255B5">
        <w:rPr>
          <w:rFonts w:cs="Arial"/>
          <w:color w:val="000000"/>
          <w:sz w:val="24"/>
          <w:szCs w:val="24"/>
          <w:lang w:val="fr-FR"/>
        </w:rPr>
        <w:t>Wh</w:t>
      </w:r>
      <w:r w:rsidR="00D717B2">
        <w:rPr>
          <w:rFonts w:cs="Arial"/>
          <w:color w:val="000000"/>
          <w:sz w:val="24"/>
          <w:szCs w:val="24"/>
          <w:lang w:val="fr-FR"/>
        </w:rPr>
        <w:t xml:space="preserve"> de « courant vert »</w:t>
      </w:r>
      <w:r w:rsidR="002255B5" w:rsidRPr="002255B5">
        <w:rPr>
          <w:rFonts w:cs="Arial"/>
          <w:color w:val="000000"/>
          <w:sz w:val="24"/>
          <w:szCs w:val="24"/>
          <w:lang w:val="fr-FR"/>
        </w:rPr>
        <w:t xml:space="preserve"> vendu</w:t>
      </w:r>
      <w:r w:rsidR="00FF0789" w:rsidRPr="002255B5">
        <w:rPr>
          <w:rFonts w:cs="Arial"/>
          <w:color w:val="000000"/>
          <w:sz w:val="24"/>
          <w:szCs w:val="24"/>
          <w:lang w:val="fr-FR"/>
        </w:rPr>
        <w:t xml:space="preserve">. </w:t>
      </w:r>
      <w:r w:rsidR="00AD4591" w:rsidRPr="002255B5">
        <w:rPr>
          <w:lang w:val="fr-FR"/>
        </w:rPr>
        <w:t xml:space="preserve"> </w:t>
      </w:r>
    </w:p>
    <w:p w:rsidR="0014635C" w:rsidRPr="002255B5" w:rsidRDefault="0014635C" w:rsidP="003D3811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ind w:left="0"/>
        <w:jc w:val="both"/>
        <w:rPr>
          <w:lang w:val="fr-FR"/>
        </w:rPr>
      </w:pPr>
    </w:p>
    <w:p w:rsidR="0014635C" w:rsidRPr="00D52D0A" w:rsidRDefault="0014635C" w:rsidP="003D381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lang w:val="fr-FR"/>
        </w:rPr>
      </w:pPr>
    </w:p>
    <w:p w:rsidR="0014635C" w:rsidRPr="00D52D0A" w:rsidRDefault="0014635C" w:rsidP="003D381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lang w:val="fr-FR"/>
        </w:rPr>
      </w:pPr>
    </w:p>
    <w:p w:rsidR="0014635C" w:rsidRPr="000877A3" w:rsidRDefault="007C617B" w:rsidP="003D3811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lang w:val="fr-FR"/>
        </w:rPr>
      </w:pPr>
      <w:r>
        <w:rPr>
          <w:lang w:val="fr-FR"/>
        </w:rPr>
        <w:t>Contac</w:t>
      </w:r>
      <w:r w:rsidR="0014635C" w:rsidRPr="003D3811">
        <w:rPr>
          <w:lang w:val="fr-FR"/>
        </w:rPr>
        <w:t>t</w:t>
      </w:r>
      <w:r>
        <w:rPr>
          <w:lang w:val="fr-FR"/>
        </w:rPr>
        <w:t>s</w:t>
      </w:r>
      <w:r w:rsidR="0014635C" w:rsidRPr="003D3811">
        <w:rPr>
          <w:lang w:val="fr-FR"/>
        </w:rPr>
        <w:t>:</w:t>
      </w:r>
      <w:r w:rsidR="0014635C" w:rsidRPr="003D3811">
        <w:rPr>
          <w:lang w:val="fr-FR"/>
        </w:rPr>
        <w:tab/>
        <w:t xml:space="preserve">Mouvement Ecologique – Paul Polfer </w:t>
      </w:r>
      <w:hyperlink r:id="rId7" w:history="1">
        <w:r w:rsidR="0014635C" w:rsidRPr="003D3811">
          <w:rPr>
            <w:rStyle w:val="Hyperlink"/>
            <w:lang w:val="fr-FR"/>
          </w:rPr>
          <w:t>paul.polfer@oeko.lu</w:t>
        </w:r>
      </w:hyperlink>
    </w:p>
    <w:p w:rsidR="0014635C" w:rsidRPr="0014635C" w:rsidRDefault="0014635C" w:rsidP="003D3811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sz w:val="20"/>
          <w:szCs w:val="20"/>
          <w:lang w:val="en-US"/>
        </w:rPr>
      </w:pPr>
      <w:r w:rsidRPr="000877A3">
        <w:rPr>
          <w:lang w:val="fr-FR"/>
        </w:rPr>
        <w:tab/>
      </w:r>
      <w:r w:rsidRPr="000877A3">
        <w:rPr>
          <w:lang w:val="fr-FR"/>
        </w:rPr>
        <w:tab/>
      </w:r>
      <w:r w:rsidRPr="003D3811">
        <w:rPr>
          <w:lang w:val="en-US"/>
        </w:rPr>
        <w:t xml:space="preserve">Greenpeace Luxembourg – Martina Holbach </w:t>
      </w:r>
      <w:hyperlink r:id="rId8" w:history="1">
        <w:r w:rsidRPr="003D3811">
          <w:rPr>
            <w:rStyle w:val="Hyperlink"/>
            <w:lang w:val="en-US"/>
          </w:rPr>
          <w:t>martina.holbach@greenpeace.org</w:t>
        </w:r>
      </w:hyperlink>
      <w:r>
        <w:rPr>
          <w:sz w:val="20"/>
          <w:szCs w:val="20"/>
          <w:lang w:val="en-US"/>
        </w:rPr>
        <w:t xml:space="preserve"> </w:t>
      </w:r>
    </w:p>
    <w:p w:rsidR="0014635C" w:rsidRPr="0014635C" w:rsidRDefault="0014635C" w:rsidP="003D381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lang w:val="en-US"/>
        </w:rPr>
      </w:pPr>
    </w:p>
    <w:sectPr w:rsidR="0014635C" w:rsidRPr="0014635C" w:rsidSect="003A22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A3" w:rsidRDefault="00C402A3" w:rsidP="00BD4D10">
      <w:pPr>
        <w:spacing w:after="0" w:line="240" w:lineRule="auto"/>
      </w:pPr>
      <w:r>
        <w:separator/>
      </w:r>
    </w:p>
  </w:endnote>
  <w:endnote w:type="continuationSeparator" w:id="0">
    <w:p w:rsidR="00C402A3" w:rsidRDefault="00C402A3" w:rsidP="00B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2A3" w:rsidRDefault="00C402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4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02A3" w:rsidRDefault="00C40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6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2A3" w:rsidRDefault="00C402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A3" w:rsidRDefault="00C402A3" w:rsidP="00BD4D10">
      <w:pPr>
        <w:spacing w:after="0" w:line="240" w:lineRule="auto"/>
      </w:pPr>
      <w:r>
        <w:separator/>
      </w:r>
    </w:p>
  </w:footnote>
  <w:footnote w:type="continuationSeparator" w:id="0">
    <w:p w:rsidR="00C402A3" w:rsidRDefault="00C402A3" w:rsidP="00BD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A3" w:rsidRDefault="00C402A3">
    <w:pPr>
      <w:pStyle w:val="Header"/>
    </w:pPr>
    <w:r>
      <w:tab/>
      <w:t xml:space="preserve">                                                                                           </w:t>
    </w:r>
  </w:p>
  <w:p w:rsidR="00C402A3" w:rsidRDefault="00C40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A3" w:rsidRDefault="00C402A3" w:rsidP="003A2252">
    <w:pPr>
      <w:pStyle w:val="Header"/>
      <w:jc w:val="both"/>
    </w:pPr>
    <w:r>
      <w:rPr>
        <w:noProof/>
        <w:lang w:eastAsia="lb-LU"/>
      </w:rPr>
      <w:drawing>
        <wp:inline distT="0" distB="0" distL="0" distR="0" wp14:anchorId="25E5B30B" wp14:editId="781285A2">
          <wp:extent cx="1047750" cy="9634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ouvement-ecologique_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87" cy="99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b-LU"/>
      </w:rPr>
      <w:t xml:space="preserve"> </w:t>
    </w:r>
    <w:r>
      <w:rPr>
        <w:noProof/>
        <w:lang w:eastAsia="lb-LU"/>
      </w:rPr>
      <w:tab/>
    </w:r>
    <w:r>
      <w:rPr>
        <w:noProof/>
        <w:lang w:eastAsia="lb-LU"/>
      </w:rPr>
      <w:tab/>
    </w:r>
    <w:r>
      <w:rPr>
        <w:noProof/>
        <w:lang w:eastAsia="lb-LU"/>
      </w:rPr>
      <w:drawing>
        <wp:inline distT="0" distB="0" distL="0" distR="0" wp14:anchorId="00470AD0" wp14:editId="40766D7B">
          <wp:extent cx="1908810" cy="352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eenpea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AA"/>
    <w:multiLevelType w:val="hybridMultilevel"/>
    <w:tmpl w:val="BF1E59F2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708B"/>
    <w:multiLevelType w:val="hybridMultilevel"/>
    <w:tmpl w:val="8DFA2CC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63F7"/>
    <w:multiLevelType w:val="hybridMultilevel"/>
    <w:tmpl w:val="A3C2F7C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5E9"/>
    <w:multiLevelType w:val="hybridMultilevel"/>
    <w:tmpl w:val="8788E8F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16AD"/>
    <w:multiLevelType w:val="hybridMultilevel"/>
    <w:tmpl w:val="ACE0A2D2"/>
    <w:lvl w:ilvl="0" w:tplc="0C04592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70DD7"/>
    <w:multiLevelType w:val="hybridMultilevel"/>
    <w:tmpl w:val="4340771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654"/>
    <w:multiLevelType w:val="hybridMultilevel"/>
    <w:tmpl w:val="3132DA48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5A1B"/>
    <w:multiLevelType w:val="hybridMultilevel"/>
    <w:tmpl w:val="14A09ED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616A"/>
    <w:multiLevelType w:val="hybridMultilevel"/>
    <w:tmpl w:val="247C0568"/>
    <w:lvl w:ilvl="0" w:tplc="3E28F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D"/>
    <w:rsid w:val="0000282B"/>
    <w:rsid w:val="00006CEC"/>
    <w:rsid w:val="00024B31"/>
    <w:rsid w:val="00034914"/>
    <w:rsid w:val="000877A3"/>
    <w:rsid w:val="00087A9E"/>
    <w:rsid w:val="000B5010"/>
    <w:rsid w:val="000B7FA2"/>
    <w:rsid w:val="000D1211"/>
    <w:rsid w:val="000F32FA"/>
    <w:rsid w:val="0010002A"/>
    <w:rsid w:val="001433B8"/>
    <w:rsid w:val="0014635C"/>
    <w:rsid w:val="001464FA"/>
    <w:rsid w:val="001479D9"/>
    <w:rsid w:val="001B52D8"/>
    <w:rsid w:val="001D22FE"/>
    <w:rsid w:val="001F35A0"/>
    <w:rsid w:val="00207DD6"/>
    <w:rsid w:val="002255B5"/>
    <w:rsid w:val="00237E32"/>
    <w:rsid w:val="00252858"/>
    <w:rsid w:val="00263913"/>
    <w:rsid w:val="002907EE"/>
    <w:rsid w:val="00295E07"/>
    <w:rsid w:val="00317170"/>
    <w:rsid w:val="00361D36"/>
    <w:rsid w:val="00367D45"/>
    <w:rsid w:val="00393070"/>
    <w:rsid w:val="00394CAC"/>
    <w:rsid w:val="00395FAF"/>
    <w:rsid w:val="003A2252"/>
    <w:rsid w:val="003D3811"/>
    <w:rsid w:val="003E4FCA"/>
    <w:rsid w:val="003F018E"/>
    <w:rsid w:val="003F7089"/>
    <w:rsid w:val="003F7363"/>
    <w:rsid w:val="003F7E53"/>
    <w:rsid w:val="00411BB9"/>
    <w:rsid w:val="00411CC0"/>
    <w:rsid w:val="00430173"/>
    <w:rsid w:val="004315EC"/>
    <w:rsid w:val="00435154"/>
    <w:rsid w:val="00481425"/>
    <w:rsid w:val="0048508D"/>
    <w:rsid w:val="00486C2A"/>
    <w:rsid w:val="004A75F2"/>
    <w:rsid w:val="004B06E8"/>
    <w:rsid w:val="004E7746"/>
    <w:rsid w:val="004F25E2"/>
    <w:rsid w:val="00501C8B"/>
    <w:rsid w:val="005029F6"/>
    <w:rsid w:val="00511166"/>
    <w:rsid w:val="00524358"/>
    <w:rsid w:val="00556632"/>
    <w:rsid w:val="005B140F"/>
    <w:rsid w:val="005D4CB0"/>
    <w:rsid w:val="005E13D0"/>
    <w:rsid w:val="005E4D0B"/>
    <w:rsid w:val="005F2A61"/>
    <w:rsid w:val="00604429"/>
    <w:rsid w:val="00611FE2"/>
    <w:rsid w:val="006157D3"/>
    <w:rsid w:val="00622D33"/>
    <w:rsid w:val="00652D4A"/>
    <w:rsid w:val="00681438"/>
    <w:rsid w:val="006B1026"/>
    <w:rsid w:val="006C5017"/>
    <w:rsid w:val="006D5D13"/>
    <w:rsid w:val="00713564"/>
    <w:rsid w:val="007420BD"/>
    <w:rsid w:val="007467EE"/>
    <w:rsid w:val="00770480"/>
    <w:rsid w:val="007766D0"/>
    <w:rsid w:val="007C3061"/>
    <w:rsid w:val="007C617B"/>
    <w:rsid w:val="00801193"/>
    <w:rsid w:val="008054A9"/>
    <w:rsid w:val="00825F1C"/>
    <w:rsid w:val="008315FC"/>
    <w:rsid w:val="00855AC1"/>
    <w:rsid w:val="00857F87"/>
    <w:rsid w:val="0087199F"/>
    <w:rsid w:val="00875C51"/>
    <w:rsid w:val="00886324"/>
    <w:rsid w:val="008C2635"/>
    <w:rsid w:val="008C7D4A"/>
    <w:rsid w:val="008F419B"/>
    <w:rsid w:val="008F717D"/>
    <w:rsid w:val="009212A0"/>
    <w:rsid w:val="00927F75"/>
    <w:rsid w:val="00932483"/>
    <w:rsid w:val="00937030"/>
    <w:rsid w:val="009415F7"/>
    <w:rsid w:val="00990CC8"/>
    <w:rsid w:val="009A0A45"/>
    <w:rsid w:val="009B2DD9"/>
    <w:rsid w:val="009C1E3F"/>
    <w:rsid w:val="009E65BB"/>
    <w:rsid w:val="009F643E"/>
    <w:rsid w:val="00A12C75"/>
    <w:rsid w:val="00A33E35"/>
    <w:rsid w:val="00A61BAB"/>
    <w:rsid w:val="00A63DF9"/>
    <w:rsid w:val="00AC31B3"/>
    <w:rsid w:val="00AD3BCF"/>
    <w:rsid w:val="00AD4591"/>
    <w:rsid w:val="00AE124B"/>
    <w:rsid w:val="00AE35B7"/>
    <w:rsid w:val="00B20110"/>
    <w:rsid w:val="00B54BD7"/>
    <w:rsid w:val="00B74C3B"/>
    <w:rsid w:val="00B92269"/>
    <w:rsid w:val="00BC7D8A"/>
    <w:rsid w:val="00BD4D10"/>
    <w:rsid w:val="00BE0616"/>
    <w:rsid w:val="00BE53EB"/>
    <w:rsid w:val="00BF5112"/>
    <w:rsid w:val="00C402A3"/>
    <w:rsid w:val="00C62BCA"/>
    <w:rsid w:val="00C75E4D"/>
    <w:rsid w:val="00C87887"/>
    <w:rsid w:val="00C97C4B"/>
    <w:rsid w:val="00CB33CF"/>
    <w:rsid w:val="00CB720E"/>
    <w:rsid w:val="00CE1A7D"/>
    <w:rsid w:val="00CE3827"/>
    <w:rsid w:val="00CF3191"/>
    <w:rsid w:val="00CF5E8E"/>
    <w:rsid w:val="00D27CC3"/>
    <w:rsid w:val="00D30AC7"/>
    <w:rsid w:val="00D46983"/>
    <w:rsid w:val="00D52D0A"/>
    <w:rsid w:val="00D717B2"/>
    <w:rsid w:val="00D77821"/>
    <w:rsid w:val="00D9552F"/>
    <w:rsid w:val="00D973DA"/>
    <w:rsid w:val="00DB1727"/>
    <w:rsid w:val="00DB78E6"/>
    <w:rsid w:val="00DE791D"/>
    <w:rsid w:val="00DF16E0"/>
    <w:rsid w:val="00E00767"/>
    <w:rsid w:val="00E23369"/>
    <w:rsid w:val="00E2484E"/>
    <w:rsid w:val="00E25305"/>
    <w:rsid w:val="00E50309"/>
    <w:rsid w:val="00E72C93"/>
    <w:rsid w:val="00EB4B65"/>
    <w:rsid w:val="00EC44CE"/>
    <w:rsid w:val="00EE33E7"/>
    <w:rsid w:val="00EE51F3"/>
    <w:rsid w:val="00F26067"/>
    <w:rsid w:val="00F6156A"/>
    <w:rsid w:val="00F66A36"/>
    <w:rsid w:val="00F73B85"/>
    <w:rsid w:val="00FA5311"/>
    <w:rsid w:val="00FB0DF6"/>
    <w:rsid w:val="00FD06DE"/>
    <w:rsid w:val="00FF0789"/>
    <w:rsid w:val="00FF0D4F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6FD055A-0679-4133-A347-8698349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10"/>
  </w:style>
  <w:style w:type="paragraph" w:styleId="Footer">
    <w:name w:val="footer"/>
    <w:basedOn w:val="Normal"/>
    <w:link w:val="FooterChar"/>
    <w:uiPriority w:val="99"/>
    <w:unhideWhenUsed/>
    <w:rsid w:val="00BD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10"/>
  </w:style>
  <w:style w:type="character" w:styleId="Hyperlink">
    <w:name w:val="Hyperlink"/>
    <w:basedOn w:val="DefaultParagraphFont"/>
    <w:uiPriority w:val="99"/>
    <w:unhideWhenUsed/>
    <w:rsid w:val="0014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olbach@greenpea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polfer@oeko.l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Polfer</dc:creator>
  <cp:lastModifiedBy>Paul Polfer</cp:lastModifiedBy>
  <cp:revision>4</cp:revision>
  <cp:lastPrinted>2016-03-08T15:46:00Z</cp:lastPrinted>
  <dcterms:created xsi:type="dcterms:W3CDTF">2016-09-07T15:13:00Z</dcterms:created>
  <dcterms:modified xsi:type="dcterms:W3CDTF">2017-03-09T13:36:00Z</dcterms:modified>
</cp:coreProperties>
</file>